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0" w:lineRule="atLeast"/>
        <w:ind w:right="0"/>
        <w:jc w:val="center"/>
        <w:rPr>
          <w:rFonts w:hint="eastAsia" w:ascii="仿宋" w:hAnsi="仿宋" w:eastAsia="仿宋" w:cs="仿宋"/>
          <w:b/>
          <w:bCs/>
          <w:color w:val="333333"/>
          <w:spacing w:val="0"/>
          <w:sz w:val="36"/>
          <w:szCs w:val="36"/>
          <w:shd w:val="clear" w:fill="FFFFFF"/>
        </w:rPr>
      </w:pPr>
      <w:r>
        <w:rPr>
          <w:rFonts w:hint="eastAsia" w:ascii="仿宋" w:hAnsi="仿宋" w:eastAsia="仿宋" w:cs="仿宋"/>
          <w:b/>
          <w:bCs/>
          <w:color w:val="333333"/>
          <w:spacing w:val="0"/>
          <w:sz w:val="36"/>
          <w:szCs w:val="36"/>
          <w:shd w:val="clear" w:fill="FFFFFF"/>
        </w:rPr>
        <w:t>百丈山管委会2021年度政府信息公开工作年度报告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color w:val="333333"/>
          <w:spacing w:val="0"/>
          <w:sz w:val="32"/>
          <w:szCs w:val="32"/>
          <w:shd w:val="clear" w:fill="FFFFFF"/>
        </w:rPr>
        <w:t>根据《中华人民共和国政府信息公开条例》（以下简称《条例》）的规定和《政府信息公开工作年度报告》编制要求，编制本年度报告。报告中所列数据的统计期限自2021年1月1日起至2021年12月31日止。本年报电子版通过中国奉新政府网（</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"http://www.fengxin.gov.cn/" </w:instrText>
      </w:r>
      <w:r>
        <w:rPr>
          <w:rFonts w:hint="eastAsia" w:ascii="仿宋" w:hAnsi="仿宋" w:eastAsia="仿宋" w:cs="仿宋"/>
          <w:sz w:val="32"/>
          <w:szCs w:val="32"/>
        </w:rPr>
        <w:fldChar w:fldCharType="separate"/>
      </w:r>
      <w:r>
        <w:rPr>
          <w:rStyle w:val="6"/>
          <w:rFonts w:hint="eastAsia" w:ascii="仿宋" w:hAnsi="仿宋" w:eastAsia="仿宋" w:cs="仿宋"/>
          <w:color w:val="333333"/>
          <w:spacing w:val="0"/>
          <w:sz w:val="32"/>
          <w:szCs w:val="32"/>
          <w:u w:val="single"/>
          <w:shd w:val="clear" w:fill="FFFFFF"/>
        </w:rPr>
        <w:t>http://www.fengxin.gov.cn</w:t>
      </w:r>
      <w:r>
        <w:rPr>
          <w:rFonts w:hint="eastAsia" w:ascii="仿宋" w:hAnsi="仿宋" w:eastAsia="仿宋" w:cs="仿宋"/>
          <w:sz w:val="32"/>
          <w:szCs w:val="32"/>
        </w:rPr>
        <w:fldChar w:fldCharType="end"/>
      </w:r>
      <w:r>
        <w:rPr>
          <w:rFonts w:hint="eastAsia" w:ascii="仿宋" w:hAnsi="仿宋" w:eastAsia="仿宋" w:cs="仿宋"/>
          <w:color w:val="333333"/>
          <w:spacing w:val="0"/>
          <w:sz w:val="32"/>
          <w:szCs w:val="32"/>
          <w:shd w:val="clear" w:fill="FFFFFF"/>
        </w:rPr>
        <w:t>）全文公开,如对本报告有疑问，请与奉新县百丈山管委会办公室联系（地址：奉新县百丈山风景名胜区管理委员会；邮编：330700；电话：0795-4648005。）现将我管委会今年政务公开工作报告如下：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一、总体情况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2021年百丈山党委、政府高度重视政府政务公开工作，严格按照县政府的要求，积极采取措施。本着“以公开为常态、不公开为例外”的原则，认真贯彻落实，把政务公开与政府各项工作联系起来，自觉接受广大群众监督，从而增强干部队伍素质，提高了为民服务的水平。紧紧围绕省委、省政府中心工作及社会群众关注关切，着力提升政府信息公开质量，推进拓宽政府信息公开渠道，不断增强政府信息公开实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（一）主动公开情况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2021年，百丈山管委会在在政府信息公开平台公开工作动态38条，政策文件3条，公开指南1条，概况信息3条，财经信息1条，发展规划2条，解读回应2条。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（二）依申请公开情况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依照《条例》的规定，2021年，我管委会开展了依申请公开受理工作，共收到依申请件0件。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（三）政府信息管理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为进一步做好政府信息管理，我管委会建立了规范性文件管理及公开标准，统一登记、统一编号、统一印发，对与群众利益密切相关的工作，经人秘股审核处理后进行信息公开，对群众难理解的政策文件，及时上传政策解读，让群众即时了解各类政策，增强参与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（四）政府信息公开平台建设</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按照上级部门的规范要求，我管委会及时公开各类信息，维护好百丈山政务公开平台的日常运营。此外在我管委会便民服务中心设立了线下政务公开专区和群众意见箱，方便群众线下查看政策文件和收集群众意见建议。开展多渠道公开，增强工作透明度。管委会在便民服务中心、财政经济股办公室等业务办公室专门悬挂了群众《办事指南》，方便群众办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（五）监督保障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一是健全组织领导，统一部署落实。充实和调整政务公开工作领导小组，统一负责政务公开工作的组织实施。成立了由管委会党委书记、主任为组长的政府信息公开工作领导小组，领导小组下设办公室。主要领导听取管委会政府信息公开工作汇报，加强对政府信息公开工作的指导，协调解决工作涉及的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二是加强辅导培训，提升业务水平。积极参加上级部门组织的各项政务公开业务培训，学习政务公开相关知识，把握公开各项要点，强化部门间的交流沟通，提高业务能力，规范信息公开工作程序和文书格式要求，加强监督考核，提升信息公开业务水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三是严把审核关，强化数据真实性。完善主动公开制度，在发文环节即加强主动公开信息的审查及管理，严格执行信息公开保密逐级审查制度，坚持“先审查、后公开”和“一事一审”原则，将政府信息公开保密审查程序与公文运转流程、信息发布程序有机结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四是职责明确，强化监督。结合工作实际，管委会先后研究制定了《百丈山机关干部管理制度》和《百丈山干部考核制度》等一系列工作管理规定，从职责分工、科学民主决策程序、工作安排布局和落实、人事及财务管理、作风纪律等方面进一步明确了工作人员的工作职责。为切实推进政务公开水平，管委会进一步强化了行政行为曝光制，强化责任追究，以明确行政过错行为追究范围、责任划分、责任追究方式和责任追究的实施，从制度上保证依法行政，努力推动政务公开再上新台阶。</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二、主动公开政府信息情况</w:t>
      </w:r>
    </w:p>
    <w:tbl>
      <w:tblPr>
        <w:tblW w:w="0" w:type="auto"/>
        <w:tblInd w:w="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800"/>
        <w:gridCol w:w="1521"/>
        <w:gridCol w:w="2445"/>
        <w:gridCol w:w="25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8334" w:type="dxa"/>
            <w:gridSpan w:val="4"/>
            <w:tcBorders>
              <w:top w:val="single" w:color="000000" w:sz="6" w:space="0"/>
              <w:left w:val="single" w:color="000000" w:sz="6" w:space="0"/>
              <w:bottom w:val="single" w:color="000000" w:sz="6" w:space="0"/>
              <w:right w:val="single" w:color="000000" w:sz="6" w:space="0"/>
            </w:tcBorders>
            <w:shd w:val="clear" w:color="auto" w:fill="C6D9F1"/>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信息内容</w:t>
            </w:r>
          </w:p>
        </w:tc>
        <w:tc>
          <w:tcPr>
            <w:tcW w:w="1521"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本年制发件数</w:t>
            </w:r>
          </w:p>
        </w:tc>
        <w:tc>
          <w:tcPr>
            <w:tcW w:w="2445"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本年废止件数</w:t>
            </w:r>
          </w:p>
        </w:tc>
        <w:tc>
          <w:tcPr>
            <w:tcW w:w="2568"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521"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2445"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2568"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规章</w:t>
            </w:r>
          </w:p>
        </w:tc>
        <w:tc>
          <w:tcPr>
            <w:tcW w:w="1521"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244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2568"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规范性文件</w:t>
            </w:r>
          </w:p>
        </w:tc>
        <w:tc>
          <w:tcPr>
            <w:tcW w:w="1521"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2</w:t>
            </w:r>
          </w:p>
        </w:tc>
        <w:tc>
          <w:tcPr>
            <w:tcW w:w="244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2568"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334" w:type="dxa"/>
            <w:gridSpan w:val="4"/>
            <w:tcBorders>
              <w:top w:val="single" w:color="000000" w:sz="6" w:space="0"/>
              <w:left w:val="single" w:color="000000" w:sz="6" w:space="0"/>
              <w:bottom w:val="single" w:color="000000" w:sz="6" w:space="0"/>
              <w:right w:val="single" w:color="000000" w:sz="6" w:space="0"/>
            </w:tcBorders>
            <w:shd w:val="clear" w:color="auto" w:fill="C6D9F1"/>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信息内容</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行政许可</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334" w:type="dxa"/>
            <w:gridSpan w:val="4"/>
            <w:tcBorders>
              <w:top w:val="single" w:color="000000" w:sz="6" w:space="0"/>
              <w:left w:val="single" w:color="000000" w:sz="6" w:space="0"/>
              <w:bottom w:val="single" w:color="000000" w:sz="6" w:space="0"/>
              <w:right w:val="single" w:color="000000" w:sz="6" w:space="0"/>
            </w:tcBorders>
            <w:shd w:val="clear" w:color="auto" w:fill="C6D9F1"/>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信息内容</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行政处罚</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行政强制</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DAEEF3"/>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334" w:type="dxa"/>
            <w:gridSpan w:val="4"/>
            <w:tcBorders>
              <w:top w:val="single" w:color="000000" w:sz="6" w:space="0"/>
              <w:left w:val="single" w:color="000000" w:sz="6" w:space="0"/>
              <w:bottom w:val="single" w:color="000000" w:sz="6" w:space="0"/>
              <w:right w:val="single" w:color="000000" w:sz="6" w:space="0"/>
            </w:tcBorders>
            <w:shd w:val="clear" w:color="auto" w:fill="C6D9F1"/>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信息内容</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8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Style w:val="5"/>
                <w:rFonts w:hint="eastAsia" w:ascii="仿宋" w:hAnsi="仿宋" w:eastAsia="仿宋" w:cs="仿宋"/>
                <w:color w:val="333333"/>
                <w:spacing w:val="0"/>
                <w:sz w:val="32"/>
                <w:szCs w:val="32"/>
              </w:rPr>
              <w:t>行政事业性收费</w:t>
            </w:r>
          </w:p>
        </w:tc>
        <w:tc>
          <w:tcPr>
            <w:tcW w:w="6534" w:type="dxa"/>
            <w:gridSpan w:val="3"/>
            <w:tcBorders>
              <w:top w:val="single" w:color="000000" w:sz="6" w:space="0"/>
              <w:left w:val="single" w:color="000000" w:sz="6" w:space="0"/>
              <w:bottom w:val="single" w:color="000000" w:sz="6" w:space="0"/>
              <w:right w:val="single" w:color="000000" w:sz="6" w:space="0"/>
            </w:tcBorders>
            <w:shd w:val="clear" w:color="auto" w:fill="DAEEF3"/>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bl>
    <w:p>
      <w:pPr>
        <w:pStyle w:val="2"/>
        <w:keepNext w:val="0"/>
        <w:keepLines w:val="0"/>
        <w:widowControl/>
        <w:suppressLineNumbers w:val="0"/>
        <w:spacing w:before="0" w:beforeAutospacing="0" w:after="0" w:afterAutospacing="0" w:line="432" w:lineRule="atLeast"/>
        <w:ind w:left="0" w:right="0" w:firstLine="0"/>
        <w:jc w:val="both"/>
        <w:rPr>
          <w:rFonts w:hint="eastAsia" w:ascii="仿宋" w:hAnsi="仿宋" w:eastAsia="仿宋" w:cs="仿宋"/>
          <w:sz w:val="32"/>
          <w:szCs w:val="32"/>
        </w:rPr>
      </w:pPr>
      <w:r>
        <w:rPr>
          <w:rStyle w:val="5"/>
          <w:rFonts w:hint="eastAsia" w:ascii="仿宋" w:hAnsi="仿宋" w:eastAsia="仿宋" w:cs="仿宋"/>
          <w:color w:val="333333"/>
          <w:spacing w:val="0"/>
          <w:sz w:val="32"/>
          <w:szCs w:val="32"/>
          <w:shd w:val="clear" w:fill="FFFFFF"/>
        </w:rPr>
        <w:t> </w:t>
      </w:r>
    </w:p>
    <w:p>
      <w:pPr>
        <w:pStyle w:val="2"/>
        <w:keepNext w:val="0"/>
        <w:keepLines w:val="0"/>
        <w:widowControl/>
        <w:suppressLineNumbers w:val="0"/>
        <w:spacing w:before="0" w:beforeAutospacing="0" w:after="0" w:afterAutospacing="0" w:line="432" w:lineRule="atLeast"/>
        <w:ind w:right="0"/>
        <w:jc w:val="both"/>
        <w:rPr>
          <w:rFonts w:hint="eastAsia" w:ascii="仿宋" w:hAnsi="仿宋" w:eastAsia="仿宋" w:cs="仿宋"/>
          <w:color w:val="333333"/>
          <w:spacing w:val="0"/>
          <w:sz w:val="32"/>
          <w:szCs w:val="32"/>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三、收到和处理政府信息公开申请情况</w:t>
      </w:r>
    </w:p>
    <w:tbl>
      <w:tblPr>
        <w:tblW w:w="0" w:type="auto"/>
        <w:tblInd w:w="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20"/>
        <w:gridCol w:w="1140"/>
        <w:gridCol w:w="1380"/>
        <w:gridCol w:w="615"/>
        <w:gridCol w:w="600"/>
        <w:gridCol w:w="630"/>
        <w:gridCol w:w="735"/>
        <w:gridCol w:w="735"/>
        <w:gridCol w:w="630"/>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3340" w:type="dxa"/>
            <w:gridSpan w:val="3"/>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（本列数据的勾稽关系为：第一项加第二项之和，等于第三项加第四项之和）</w:t>
            </w:r>
          </w:p>
        </w:tc>
        <w:tc>
          <w:tcPr>
            <w:tcW w:w="4575" w:type="dxa"/>
            <w:gridSpan w:val="7"/>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3340"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615"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自然人</w:t>
            </w:r>
          </w:p>
        </w:tc>
        <w:tc>
          <w:tcPr>
            <w:tcW w:w="3330" w:type="dxa"/>
            <w:gridSpan w:val="5"/>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法人或其他组织</w:t>
            </w:r>
          </w:p>
        </w:tc>
        <w:tc>
          <w:tcPr>
            <w:tcW w:w="63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3340"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615"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商业企业</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科研机构</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社会公益组织</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法律服务机构</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其他</w:t>
            </w:r>
          </w:p>
        </w:tc>
        <w:tc>
          <w:tcPr>
            <w:tcW w:w="63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3340"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一、本年新收政府信息公开申请数量</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3340"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二、上年结转政府信息公开申请数量</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三、本年度办理结果</w:t>
            </w:r>
          </w:p>
        </w:tc>
        <w:tc>
          <w:tcPr>
            <w:tcW w:w="2520" w:type="dxa"/>
            <w:gridSpan w:val="2"/>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（一）予以公开</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2520" w:type="dxa"/>
            <w:gridSpan w:val="2"/>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（二）部分公开（区分处理的，只计这一情形，不计其他情形）</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（三）不予公开</w:t>
            </w: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1.属于国家秘密</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1951" w:hRule="atLeast"/>
        </w:trPr>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2.其他法律行政法规禁止公开</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3.危及“三安全一稳定”</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4.保护第三方合法权益</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5.属于三类内部事务信息</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6.属于四类过程性信息</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7.属于行政执法案卷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8.属于行政查询事项</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（四）无法提供</w:t>
            </w: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1.本机关不掌握相关政府信息</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2.没有现成信息需要另行制作</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3.补正后申请内容仍不明确</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（五）不予处理</w:t>
            </w: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1.信访举报投诉类申请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2.重复申请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3.要求提供公开出版物</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4.无正当理由大量反复申请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5.要求行政机关确认或重新出具已获取信息</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（六）其他处理</w:t>
            </w: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1.申请人无正当理由逾期不补正、行政机关不再处理其政府信息公开申请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14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138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2.申请人逾期未按收费通知要求缴纳费用、行政机关不再处理其政府信息公开申请</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20" w:type="dxa"/>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rPr>
                <w:rFonts w:hint="eastAsia" w:ascii="仿宋" w:hAnsi="仿宋" w:eastAsia="仿宋" w:cs="仿宋"/>
                <w:sz w:val="32"/>
                <w:szCs w:val="32"/>
              </w:rPr>
            </w:pPr>
          </w:p>
        </w:tc>
        <w:tc>
          <w:tcPr>
            <w:tcW w:w="2520" w:type="dxa"/>
            <w:gridSpan w:val="2"/>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（七）总计</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3340" w:type="dxa"/>
            <w:gridSpan w:val="3"/>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四、结转下年度继续办理</w:t>
            </w:r>
          </w:p>
        </w:tc>
        <w:tc>
          <w:tcPr>
            <w:tcW w:w="61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0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735"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630" w:type="dxa"/>
            <w:tcBorders>
              <w:top w:val="single" w:color="000000" w:sz="6" w:space="0"/>
              <w:left w:val="single" w:color="000000" w:sz="6" w:space="0"/>
              <w:bottom w:val="single" w:color="000000" w:sz="6" w:space="0"/>
              <w:right w:val="single" w:color="000000" w:sz="6" w:space="0"/>
            </w:tcBorders>
            <w:shd w:val="clear" w:color="auto" w:fill="E6F4FF"/>
            <w:tcMar>
              <w:top w:w="0" w:type="dxa"/>
              <w:left w:w="90" w:type="dxa"/>
              <w:bottom w:w="0" w:type="dxa"/>
              <w:right w:w="90" w:type="dxa"/>
            </w:tcMar>
            <w:vAlign w:val="center"/>
          </w:tcPr>
          <w:p>
            <w:pPr>
              <w:pStyle w:val="2"/>
              <w:keepNext w:val="0"/>
              <w:keepLines w:val="0"/>
              <w:widowControl/>
              <w:suppressLineNumbers w:val="0"/>
              <w:spacing w:before="60" w:beforeAutospacing="0" w:after="60" w:afterAutospacing="0"/>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bl>
    <w:p>
      <w:pPr>
        <w:pStyle w:val="2"/>
        <w:keepNext w:val="0"/>
        <w:keepLines w:val="0"/>
        <w:widowControl/>
        <w:suppressLineNumbers w:val="0"/>
        <w:spacing w:before="0" w:beforeAutospacing="0" w:after="0" w:afterAutospacing="0" w:line="432" w:lineRule="atLeast"/>
        <w:ind w:left="0" w:right="0"/>
        <w:jc w:val="both"/>
        <w:rPr>
          <w:rFonts w:hint="eastAsia" w:ascii="仿宋" w:hAnsi="仿宋" w:eastAsia="仿宋" w:cs="仿宋"/>
          <w:sz w:val="32"/>
          <w:szCs w:val="32"/>
        </w:rPr>
      </w:pPr>
      <w:r>
        <w:rPr>
          <w:rFonts w:hint="eastAsia" w:ascii="仿宋" w:hAnsi="仿宋" w:eastAsia="仿宋" w:cs="仿宋"/>
          <w:color w:val="333333"/>
          <w:spacing w:val="0"/>
          <w:sz w:val="32"/>
          <w:szCs w:val="32"/>
          <w:shd w:val="clear" w:fill="FFFFFF"/>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四、政府信息公开行政复议、行政诉讼情况</w:t>
      </w:r>
    </w:p>
    <w:p>
      <w:pPr>
        <w:pStyle w:val="2"/>
        <w:keepNext w:val="0"/>
        <w:keepLines w:val="0"/>
        <w:widowControl/>
        <w:suppressLineNumbers w:val="0"/>
        <w:spacing w:before="0" w:beforeAutospacing="0" w:after="0" w:afterAutospacing="0" w:line="432" w:lineRule="atLeast"/>
        <w:ind w:left="510" w:right="0" w:firstLine="0"/>
        <w:jc w:val="both"/>
        <w:rPr>
          <w:rFonts w:hint="eastAsia" w:ascii="仿宋" w:hAnsi="仿宋" w:eastAsia="仿宋" w:cs="仿宋"/>
          <w:sz w:val="32"/>
          <w:szCs w:val="32"/>
        </w:rPr>
      </w:pPr>
      <w:r>
        <w:rPr>
          <w:rFonts w:hint="eastAsia" w:ascii="仿宋" w:hAnsi="仿宋" w:eastAsia="仿宋" w:cs="仿宋"/>
          <w:spacing w:val="0"/>
          <w:sz w:val="32"/>
          <w:szCs w:val="32"/>
        </w:rPr>
        <w:t> </w:t>
      </w:r>
    </w:p>
    <w:tbl>
      <w:tblPr>
        <w:tblW w:w="0" w:type="auto"/>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500"/>
        <w:gridCol w:w="500"/>
        <w:gridCol w:w="500"/>
        <w:gridCol w:w="500"/>
        <w:gridCol w:w="500"/>
        <w:gridCol w:w="500"/>
        <w:gridCol w:w="500"/>
        <w:gridCol w:w="500"/>
        <w:gridCol w:w="500"/>
        <w:gridCol w:w="500"/>
        <w:gridCol w:w="500"/>
        <w:gridCol w:w="500"/>
        <w:gridCol w:w="500"/>
        <w:gridCol w:w="500"/>
        <w:gridCol w:w="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70" w:hRule="atLeast"/>
        </w:trPr>
        <w:tc>
          <w:tcPr>
            <w:tcW w:w="2475"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行政复议</w:t>
            </w:r>
          </w:p>
        </w:tc>
        <w:tc>
          <w:tcPr>
            <w:tcW w:w="4950" w:type="dxa"/>
            <w:gridSpan w:val="10"/>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495" w:type="dxa"/>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结果维护</w:t>
            </w:r>
          </w:p>
        </w:tc>
        <w:tc>
          <w:tcPr>
            <w:tcW w:w="495" w:type="dxa"/>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结果纠正</w:t>
            </w:r>
          </w:p>
        </w:tc>
        <w:tc>
          <w:tcPr>
            <w:tcW w:w="495" w:type="dxa"/>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其他结果</w:t>
            </w:r>
          </w:p>
        </w:tc>
        <w:tc>
          <w:tcPr>
            <w:tcW w:w="495" w:type="dxa"/>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尚未审结</w:t>
            </w:r>
          </w:p>
        </w:tc>
        <w:tc>
          <w:tcPr>
            <w:tcW w:w="495" w:type="dxa"/>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总计</w:t>
            </w:r>
          </w:p>
        </w:tc>
        <w:tc>
          <w:tcPr>
            <w:tcW w:w="2475"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color w:val="333333"/>
                <w:spacing w:val="0"/>
                <w:sz w:val="32"/>
                <w:szCs w:val="32"/>
              </w:rPr>
              <w:t>未经复议直接起诉</w:t>
            </w:r>
          </w:p>
        </w:tc>
        <w:tc>
          <w:tcPr>
            <w:tcW w:w="2475"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65" w:hRule="atLeast"/>
        </w:trPr>
        <w:tc>
          <w:tcPr>
            <w:tcW w:w="49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rPr>
                <w:rFonts w:hint="eastAsia" w:ascii="仿宋" w:hAnsi="仿宋" w:eastAsia="仿宋" w:cs="仿宋"/>
                <w:sz w:val="32"/>
                <w:szCs w:val="32"/>
              </w:rPr>
            </w:pPr>
          </w:p>
        </w:tc>
        <w:tc>
          <w:tcPr>
            <w:tcW w:w="49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rPr>
                <w:rFonts w:hint="eastAsia" w:ascii="仿宋" w:hAnsi="仿宋" w:eastAsia="仿宋" w:cs="仿宋"/>
                <w:sz w:val="32"/>
                <w:szCs w:val="32"/>
              </w:rPr>
            </w:pPr>
          </w:p>
        </w:tc>
        <w:tc>
          <w:tcPr>
            <w:tcW w:w="49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rPr>
                <w:rFonts w:hint="eastAsia" w:ascii="仿宋" w:hAnsi="仿宋" w:eastAsia="仿宋" w:cs="仿宋"/>
                <w:sz w:val="32"/>
                <w:szCs w:val="32"/>
              </w:rPr>
            </w:pPr>
          </w:p>
        </w:tc>
        <w:tc>
          <w:tcPr>
            <w:tcW w:w="49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rPr>
                <w:rFonts w:hint="eastAsia" w:ascii="仿宋" w:hAnsi="仿宋" w:eastAsia="仿宋" w:cs="仿宋"/>
                <w:sz w:val="32"/>
                <w:szCs w:val="32"/>
              </w:rPr>
            </w:pPr>
          </w:p>
        </w:tc>
        <w:tc>
          <w:tcPr>
            <w:tcW w:w="49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rPr>
                <w:rFonts w:hint="eastAsia" w:ascii="仿宋" w:hAnsi="仿宋" w:eastAsia="仿宋" w:cs="仿宋"/>
                <w:sz w:val="32"/>
                <w:szCs w:val="32"/>
              </w:rPr>
            </w:pP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结果维护</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结果纠正</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其他结果</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尚未审结</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总计</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结果维护</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结果纠正</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其他结果</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尚未审结</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pStyle w:val="2"/>
              <w:keepNext w:val="0"/>
              <w:keepLines w:val="0"/>
              <w:widowControl/>
              <w:suppressLineNumbers w:val="0"/>
              <w:spacing w:before="0" w:beforeAutospacing="0" w:after="0" w:afterAutospacing="0" w:line="432" w:lineRule="atLeast"/>
              <w:ind w:left="0" w:right="0" w:firstLine="0"/>
              <w:jc w:val="center"/>
              <w:rPr>
                <w:rFonts w:hint="eastAsia" w:ascii="仿宋" w:hAnsi="仿宋" w:eastAsia="仿宋" w:cs="仿宋"/>
                <w:sz w:val="32"/>
                <w:szCs w:val="32"/>
              </w:rPr>
            </w:pPr>
            <w:r>
              <w:rPr>
                <w:rFonts w:hint="eastAsia" w:ascii="仿宋" w:hAnsi="仿宋" w:eastAsia="仿宋" w:cs="仿宋"/>
                <w:spacing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5" w:hRule="atLeast"/>
        </w:trPr>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c>
          <w:tcPr>
            <w:tcW w:w="49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top"/>
          </w:tcPr>
          <w:p>
            <w:pPr>
              <w:pStyle w:val="2"/>
              <w:keepNext w:val="0"/>
              <w:keepLines w:val="0"/>
              <w:widowControl/>
              <w:suppressLineNumbers w:val="0"/>
              <w:spacing w:before="75" w:beforeAutospacing="0" w:after="75" w:afterAutospacing="0" w:line="432" w:lineRule="atLeast"/>
              <w:ind w:left="0" w:right="0" w:firstLine="0"/>
              <w:rPr>
                <w:rFonts w:hint="eastAsia" w:ascii="仿宋" w:hAnsi="仿宋" w:eastAsia="仿宋" w:cs="仿宋"/>
                <w:sz w:val="32"/>
                <w:szCs w:val="32"/>
              </w:rPr>
            </w:pPr>
            <w:r>
              <w:rPr>
                <w:rFonts w:hint="eastAsia" w:ascii="仿宋" w:hAnsi="仿宋" w:eastAsia="仿宋" w:cs="仿宋"/>
                <w:color w:val="333333"/>
                <w:spacing w:val="0"/>
                <w:sz w:val="32"/>
                <w:szCs w:val="32"/>
              </w:rPr>
              <w:t>0</w:t>
            </w:r>
          </w:p>
        </w:tc>
      </w:tr>
    </w:tbl>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五、存在的主要问题和改进情况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2021年，百丈山管委会政府信息公开工作虽然取得了一定成绩，但与《条例》的要求和公众的需求还有差距。一是政务信息公开意识不强，更新速度有待提高，网上填报内容还不够规范、及时。二是各种业务操作不够熟练，网上填报内容不够充实，公开形式的便民性有待提高。三是政务信息公开力度有待进一步加大。下一步，百丈山管委会将按照要求不断改进和提高，重点抓好以下几项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一）进一步规范政府信息公开工作制度。建立健全各项规章制度，及时更新政府信息公开目录，做到目录内容与站内信息的一致，进一步规范信息公开流程，促进百丈山管委会信息公开工作走向制度化、规范化的轨道发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二）进一步完善政府信息公开内容。进一步做好公开和免予公开两类政府信息的界定，进一步完善主动公开的政府信息目录。凡是需要群众知道的，涉及群众切身利益的，都要纳入公开范围，加强对公众关注度高的政府信息的梳理，及时、全面地在网上进行公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（三）进一步规范信息公开流程。提高依申请公开的处理效率，方便公众查阅、申请、获取政府信息。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（四）进一步做好政府信息公开网站建设工作。及时更新图片，合理布局网站页面，做到图文并茂，保证页面质量。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五）建立信息公开长效机制。把政府信息公开工作纳入绩效考评的内容，建立和完善政府信息公开内容审查和更新维护、考核评估、监督检查评议、培训宣传和工作年报等工作制度，深入、持续、高效地开展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六）深入开展学习和调查研究。组织党政领导干部职工进一步加强学习和调查研究，不断探索政府信息公开的特点和规律，学习和借鉴先进单位的经验和做法，结合实际，制定和完善本单位的政府信息公开运行规范，研究解决工作中遇到的矛盾和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（七）不断完善和加强载体建设。结合实际，设置政府信息公开公共查阅室、宣传栏、资料索取点、信息公告栏信息公开版面、信息公开手册等场所和设施，为社会各界获取政府信息提供便利。</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六、其他需要报告的事项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r>
        <w:rPr>
          <w:rFonts w:hint="eastAsia" w:ascii="仿宋" w:hAnsi="仿宋" w:eastAsia="仿宋" w:cs="仿宋"/>
          <w:color w:val="333333"/>
          <w:spacing w:val="0"/>
          <w:sz w:val="32"/>
          <w:szCs w:val="32"/>
          <w:shd w:val="clear" w:fill="FFFFFF"/>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640" w:firstLineChars="200"/>
        <w:jc w:val="both"/>
        <w:textAlignment w:val="auto"/>
        <w:rPr>
          <w:rFonts w:hint="eastAsia" w:ascii="仿宋" w:hAnsi="仿宋" w:eastAsia="仿宋" w:cs="仿宋"/>
          <w:color w:val="333333"/>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D26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2022-01-29T07:44:29Z</dcterms:created>
  <dc:creator>Administrator</dc:creator>
  <cp:lastModifiedBy>信</cp:lastModifiedBy>
  <dcterms:modified xsi:type="dcterms:W3CDTF">2022-01-29T07:52:21Z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44753FEF79144988ADD8316B277C8B2E</vt:lpwstr>
  </property>
</Properties>
</file>