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333333"/>
          <w:spacing w:val="0"/>
          <w:sz w:val="25"/>
          <w:szCs w:val="25"/>
        </w:rPr>
      </w:pPr>
      <w:bookmarkStart w:id="0" w:name="_GoBack"/>
      <w:bookmarkEnd w:id="0"/>
      <w:r>
        <w:rPr>
          <w:rFonts w:ascii="方正小标宋简体" w:hAnsi="方正小标宋简体" w:eastAsia="方正小标宋简体" w:cs="方正小标宋简体"/>
          <w:i w:val="0"/>
          <w:caps w:val="0"/>
          <w:color w:val="333333"/>
          <w:spacing w:val="0"/>
          <w:sz w:val="43"/>
          <w:szCs w:val="43"/>
          <w:shd w:val="clear" w:fill="FFFFFF"/>
        </w:rPr>
        <w:t>百丈山管委会</w:t>
      </w:r>
      <w:r>
        <w:rPr>
          <w:rFonts w:hint="eastAsia" w:ascii="方正小标宋简体" w:hAnsi="方正小标宋简体" w:eastAsia="方正小标宋简体" w:cs="方正小标宋简体"/>
          <w:i w:val="0"/>
          <w:caps w:val="0"/>
          <w:color w:val="333333"/>
          <w:spacing w:val="0"/>
          <w:sz w:val="43"/>
          <w:szCs w:val="43"/>
          <w:shd w:val="clear" w:fill="FFFFFF"/>
        </w:rPr>
        <w:t>2020年度政府信息公开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5"/>
          <w:szCs w:val="25"/>
        </w:rPr>
      </w:pPr>
      <w:r>
        <w:rPr>
          <w:rFonts w:hint="eastAsia" w:ascii="方正小标宋简体" w:hAnsi="方正小标宋简体" w:eastAsia="方正小标宋简体" w:cs="方正小标宋简体"/>
          <w:i w:val="0"/>
          <w:caps w:val="0"/>
          <w:color w:val="333333"/>
          <w:spacing w:val="0"/>
          <w:sz w:val="43"/>
          <w:szCs w:val="43"/>
          <w:shd w:val="clear" w:fill="FFFFFF"/>
        </w:rPr>
        <w:t>工作年度报告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cs="宋体"/>
          <w:i w:val="0"/>
          <w:caps w:val="0"/>
          <w:color w:val="333333"/>
          <w:spacing w:val="0"/>
          <w:sz w:val="32"/>
          <w:szCs w:val="32"/>
          <w:lang w:eastAsia="zh-CN"/>
        </w:rPr>
        <w:t>百丈山管委会</w:t>
      </w:r>
      <w:r>
        <w:rPr>
          <w:rFonts w:hint="eastAsia" w:ascii="宋体" w:hAnsi="宋体" w:eastAsia="宋体" w:cs="宋体"/>
          <w:i w:val="0"/>
          <w:caps w:val="0"/>
          <w:color w:val="333333"/>
          <w:spacing w:val="0"/>
          <w:sz w:val="32"/>
          <w:szCs w:val="32"/>
        </w:rPr>
        <w:t>结合有关统计数据编制。本年度报告中所列数据的统计期限自</w:t>
      </w:r>
      <w:r>
        <w:rPr>
          <w:rFonts w:hint="eastAsia" w:ascii="宋体" w:hAnsi="宋体" w:eastAsia="宋体" w:cs="宋体"/>
          <w:i w:val="0"/>
          <w:caps w:val="0"/>
          <w:color w:val="333333"/>
          <w:spacing w:val="0"/>
          <w:sz w:val="32"/>
          <w:szCs w:val="32"/>
          <w:lang w:val="en-US" w:eastAsia="zh-CN"/>
        </w:rPr>
        <w:t>2020</w:t>
      </w:r>
      <w:r>
        <w:rPr>
          <w:rFonts w:hint="eastAsia" w:ascii="宋体" w:hAnsi="宋体" w:eastAsia="宋体" w:cs="宋体"/>
          <w:i w:val="0"/>
          <w:caps w:val="0"/>
          <w:color w:val="333333"/>
          <w:spacing w:val="0"/>
          <w:sz w:val="32"/>
          <w:szCs w:val="32"/>
        </w:rPr>
        <w:t>年1月1日起至</w:t>
      </w:r>
      <w:r>
        <w:rPr>
          <w:rFonts w:hint="eastAsia" w:ascii="宋体" w:hAnsi="宋体" w:eastAsia="宋体" w:cs="宋体"/>
          <w:i w:val="0"/>
          <w:caps w:val="0"/>
          <w:color w:val="333333"/>
          <w:spacing w:val="0"/>
          <w:sz w:val="32"/>
          <w:szCs w:val="32"/>
          <w:lang w:val="en-US" w:eastAsia="zh-CN"/>
        </w:rPr>
        <w:t>2020</w:t>
      </w:r>
      <w:r>
        <w:rPr>
          <w:rFonts w:hint="eastAsia" w:ascii="宋体" w:hAnsi="宋体" w:eastAsia="宋体" w:cs="宋体"/>
          <w:i w:val="0"/>
          <w:caps w:val="0"/>
          <w:color w:val="333333"/>
          <w:spacing w:val="0"/>
          <w:sz w:val="32"/>
          <w:szCs w:val="32"/>
        </w:rPr>
        <w:t>年12月31日止。全文包括总体情况、主动公开政府信息情况、收到和处理政府信息公开申请情况、政府信息公开行政复议行政诉讼情况、存在的主要问题及改进情况、其他需要报告的事项。</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shd w:val="clear" w:fill="FFFFFF"/>
        </w:rPr>
      </w:pPr>
      <w:r>
        <w:rPr>
          <w:rFonts w:hint="eastAsia" w:ascii="黑体" w:hAnsi="黑体" w:eastAsia="黑体" w:cs="黑体"/>
          <w:b w:val="0"/>
          <w:bCs/>
          <w:i w:val="0"/>
          <w:caps w:val="0"/>
          <w:color w:val="333333"/>
          <w:spacing w:val="0"/>
          <w:sz w:val="32"/>
          <w:szCs w:val="32"/>
          <w:shd w:val="clear" w:fill="FFFFFF"/>
        </w:rPr>
        <w:t>总体情况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both"/>
        <w:textAlignment w:val="auto"/>
        <w:rPr>
          <w:rFonts w:hint="eastAsia" w:ascii="宋体" w:hAnsi="宋体" w:eastAsia="宋体" w:cs="宋体"/>
          <w:b/>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lang w:val="en-US" w:eastAsia="zh-CN"/>
        </w:rPr>
        <w:t>2020年</w:t>
      </w:r>
      <w:r>
        <w:rPr>
          <w:rFonts w:hint="eastAsia" w:cs="宋体"/>
          <w:i w:val="0"/>
          <w:caps w:val="0"/>
          <w:color w:val="333333"/>
          <w:spacing w:val="0"/>
          <w:sz w:val="32"/>
          <w:szCs w:val="32"/>
          <w:shd w:val="clear" w:fill="FFFFFF"/>
          <w:lang w:val="en-US" w:eastAsia="zh-CN"/>
        </w:rPr>
        <w:t>百丈山管委会</w:t>
      </w:r>
      <w:r>
        <w:rPr>
          <w:rFonts w:hint="eastAsia" w:ascii="宋体" w:hAnsi="宋体" w:eastAsia="宋体" w:cs="宋体"/>
          <w:i w:val="0"/>
          <w:caps w:val="0"/>
          <w:color w:val="333333"/>
          <w:spacing w:val="0"/>
          <w:sz w:val="32"/>
          <w:szCs w:val="32"/>
          <w:shd w:val="clear" w:fill="FFFFFF"/>
          <w:lang w:val="en-US" w:eastAsia="zh-CN"/>
        </w:rPr>
        <w:t>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紧紧围绕省委、省政府中心工作及社会群众关注关切，着力提升政府信息公开质量，推进拓宽政府信息公开渠道，不断增强政府信息公开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81" w:firstLineChars="235"/>
        <w:jc w:val="both"/>
        <w:rPr>
          <w:rFonts w:hint="eastAsia" w:ascii="微软雅黑" w:hAnsi="微软雅黑" w:eastAsia="微软雅黑" w:cs="微软雅黑"/>
          <w:i w:val="0"/>
          <w:caps w:val="0"/>
          <w:color w:val="333333"/>
          <w:spacing w:val="0"/>
          <w:sz w:val="25"/>
          <w:szCs w:val="25"/>
        </w:rPr>
      </w:pPr>
      <w:r>
        <w:rPr>
          <w:rFonts w:hint="eastAsia"/>
          <w:color w:val="000000"/>
          <w:sz w:val="29"/>
          <w:szCs w:val="29"/>
        </w:rPr>
        <w:t>一是健全组织领导，统一部署落实。充实和调整政务公开工作领导小组，统一负责政务公开工作的组织实施。</w:t>
      </w:r>
      <w:r>
        <w:rPr>
          <w:rFonts w:hint="default" w:ascii="仿宋_gb2312" w:hAnsi="仿宋_gb2312" w:eastAsia="仿宋_gb2312" w:cs="仿宋_gb2312"/>
          <w:i w:val="0"/>
          <w:caps w:val="0"/>
          <w:color w:val="333333"/>
          <w:spacing w:val="0"/>
          <w:sz w:val="28"/>
          <w:szCs w:val="28"/>
          <w:shd w:val="clear" w:fill="FFFFFF"/>
        </w:rPr>
        <w:t>成立了由管委会主任为组长的政府信息公开工作领导小组，领导小组下设办公室。主要领导听取管委会政府信息公开工作汇报，加强对政府信息公开工作的指导，协调解决工作涉及的问题。</w:t>
      </w:r>
    </w:p>
    <w:p>
      <w:pPr>
        <w:pStyle w:val="2"/>
        <w:shd w:val="clear" w:color="auto" w:fill="FFFFFF"/>
        <w:spacing w:before="0" w:beforeAutospacing="0" w:after="0" w:afterAutospacing="0" w:line="408" w:lineRule="atLeast"/>
        <w:ind w:firstLine="584"/>
        <w:jc w:val="both"/>
        <w:rPr>
          <w:rFonts w:hint="eastAsia" w:ascii="微软雅黑" w:hAnsi="微软雅黑" w:eastAsia="微软雅黑"/>
          <w:color w:val="333333"/>
          <w:sz w:val="23"/>
          <w:szCs w:val="23"/>
        </w:rPr>
      </w:pPr>
      <w:r>
        <w:rPr>
          <w:rFonts w:hint="eastAsia"/>
          <w:color w:val="000000"/>
          <w:sz w:val="29"/>
          <w:szCs w:val="29"/>
        </w:rPr>
        <w:t>二是加强辅导培训，提升业务水平。积极参加上级部门组织的各项政务公开业务培训，学习政务公开相关知识，把握公开各项要点，强化部门间的交流沟通，提高业务能力，规范信息公开工作程序和文书格式要求，</w:t>
      </w:r>
      <w:r>
        <w:rPr>
          <w:rFonts w:hint="eastAsia"/>
          <w:color w:val="333333"/>
          <w:sz w:val="29"/>
          <w:szCs w:val="29"/>
        </w:rPr>
        <w:t>加强监督考核，提升信息公开业务水平。</w:t>
      </w:r>
    </w:p>
    <w:p>
      <w:pPr>
        <w:rPr>
          <w:rFonts w:hint="eastAsia"/>
          <w:color w:val="000000"/>
          <w:sz w:val="29"/>
          <w:szCs w:val="29"/>
        </w:rPr>
      </w:pPr>
      <w:r>
        <w:rPr>
          <w:rFonts w:hint="eastAsia"/>
          <w:color w:val="000000"/>
          <w:sz w:val="29"/>
          <w:szCs w:val="29"/>
        </w:rPr>
        <w:t>2020年，</w:t>
      </w:r>
      <w:r>
        <w:rPr>
          <w:rFonts w:hint="eastAsia"/>
          <w:color w:val="000000"/>
          <w:sz w:val="29"/>
          <w:szCs w:val="29"/>
          <w:lang w:eastAsia="zh-CN"/>
        </w:rPr>
        <w:t>百丈山管委会</w:t>
      </w:r>
      <w:r>
        <w:rPr>
          <w:rFonts w:hint="eastAsia"/>
          <w:color w:val="000000"/>
          <w:sz w:val="29"/>
          <w:szCs w:val="29"/>
        </w:rPr>
        <w:t>在在政府信息公开平台公开工作动态</w:t>
      </w:r>
      <w:r>
        <w:rPr>
          <w:rFonts w:hint="eastAsia"/>
          <w:color w:val="000000"/>
          <w:sz w:val="29"/>
          <w:szCs w:val="29"/>
          <w:lang w:val="en-US" w:eastAsia="zh-CN"/>
        </w:rPr>
        <w:t>23</w:t>
      </w:r>
      <w:r>
        <w:rPr>
          <w:rFonts w:hint="eastAsia"/>
          <w:color w:val="000000"/>
          <w:sz w:val="29"/>
          <w:szCs w:val="29"/>
        </w:rPr>
        <w:t>条，</w:t>
      </w:r>
      <w:r>
        <w:rPr>
          <w:rFonts w:hint="eastAsia"/>
          <w:color w:val="000000"/>
          <w:sz w:val="29"/>
          <w:szCs w:val="29"/>
          <w:lang w:eastAsia="zh-CN"/>
        </w:rPr>
        <w:t>政策文件</w:t>
      </w:r>
      <w:r>
        <w:rPr>
          <w:rFonts w:hint="eastAsia"/>
          <w:color w:val="000000"/>
          <w:sz w:val="29"/>
          <w:szCs w:val="29"/>
          <w:lang w:val="en-US" w:eastAsia="zh-CN"/>
        </w:rPr>
        <w:t>7</w:t>
      </w:r>
      <w:r>
        <w:rPr>
          <w:rFonts w:hint="eastAsia"/>
          <w:color w:val="000000"/>
          <w:sz w:val="29"/>
          <w:szCs w:val="29"/>
        </w:rPr>
        <w:t>条，</w:t>
      </w:r>
      <w:r>
        <w:rPr>
          <w:rFonts w:hint="eastAsia"/>
          <w:color w:val="000000"/>
          <w:sz w:val="29"/>
          <w:szCs w:val="29"/>
          <w:lang w:eastAsia="zh-CN"/>
        </w:rPr>
        <w:t>公开指南</w:t>
      </w:r>
      <w:r>
        <w:rPr>
          <w:rFonts w:hint="eastAsia"/>
          <w:color w:val="000000"/>
          <w:sz w:val="29"/>
          <w:szCs w:val="29"/>
          <w:lang w:val="en-US" w:eastAsia="zh-CN"/>
        </w:rPr>
        <w:t>1</w:t>
      </w:r>
      <w:r>
        <w:rPr>
          <w:rFonts w:hint="eastAsia"/>
          <w:color w:val="000000"/>
          <w:sz w:val="29"/>
          <w:szCs w:val="29"/>
        </w:rPr>
        <w:t>条</w:t>
      </w:r>
      <w:r>
        <w:rPr>
          <w:rFonts w:hint="eastAsia"/>
          <w:color w:val="000000"/>
          <w:sz w:val="29"/>
          <w:szCs w:val="29"/>
          <w:lang w:eastAsia="zh-CN"/>
        </w:rPr>
        <w:t>，概况信息</w:t>
      </w:r>
      <w:r>
        <w:rPr>
          <w:rFonts w:hint="eastAsia"/>
          <w:color w:val="000000"/>
          <w:sz w:val="29"/>
          <w:szCs w:val="29"/>
          <w:lang w:val="en-US" w:eastAsia="zh-CN"/>
        </w:rPr>
        <w:t>3条，财经信息2条，发展规划1条，解读回应1条</w:t>
      </w:r>
      <w:r>
        <w:rPr>
          <w:rFonts w:hint="eastAsia"/>
          <w:color w:val="000000"/>
          <w:sz w:val="29"/>
          <w:szCs w:val="29"/>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微软雅黑" w:hAnsi="微软雅黑" w:eastAsia="微软雅黑" w:cs="微软雅黑"/>
          <w:i w:val="0"/>
          <w:caps w:val="0"/>
          <w:color w:val="333333"/>
          <w:spacing w:val="0"/>
          <w:sz w:val="25"/>
          <w:szCs w:val="25"/>
        </w:rPr>
      </w:pPr>
      <w:r>
        <w:rPr>
          <w:rFonts w:hint="eastAsia"/>
          <w:color w:val="000000"/>
          <w:sz w:val="29"/>
          <w:szCs w:val="29"/>
        </w:rPr>
        <w:t>三是多渠道公开，增强工作透明度。</w:t>
      </w:r>
      <w:r>
        <w:rPr>
          <w:rFonts w:hint="default" w:ascii="仿宋_gb2312" w:hAnsi="仿宋_gb2312" w:eastAsia="仿宋_gb2312" w:cs="仿宋_gb2312"/>
          <w:i w:val="0"/>
          <w:caps w:val="0"/>
          <w:color w:val="333333"/>
          <w:spacing w:val="0"/>
          <w:sz w:val="28"/>
          <w:szCs w:val="28"/>
          <w:shd w:val="clear" w:fill="FFFFFF"/>
        </w:rPr>
        <w:t>管委会在民政所、便民服务中心、财政所等业务办公室专门悬挂了群众《办事指南》，方便群众办事。</w:t>
      </w:r>
    </w:p>
    <w:p>
      <w:pPr>
        <w:pStyle w:val="2"/>
        <w:shd w:val="clear" w:color="auto" w:fill="FFFFFF"/>
        <w:spacing w:before="0" w:beforeAutospacing="0" w:after="0" w:afterAutospacing="0" w:line="408" w:lineRule="atLeast"/>
        <w:ind w:firstLine="584"/>
        <w:jc w:val="both"/>
        <w:rPr>
          <w:rFonts w:hint="eastAsia"/>
          <w:color w:val="333333"/>
          <w:sz w:val="29"/>
          <w:szCs w:val="29"/>
        </w:rPr>
      </w:pPr>
      <w:r>
        <w:rPr>
          <w:rFonts w:hint="eastAsia"/>
          <w:color w:val="000000"/>
          <w:sz w:val="29"/>
          <w:szCs w:val="29"/>
        </w:rPr>
        <w:t>四是严把审核关，强化数据真实性。</w:t>
      </w:r>
      <w:r>
        <w:rPr>
          <w:rFonts w:hint="eastAsia"/>
          <w:color w:val="333333"/>
          <w:sz w:val="29"/>
          <w:szCs w:val="29"/>
        </w:rPr>
        <w:t>完善主动公开制度，在发文环节即加强主动公开信息的审查及管理，严格执行信息公开保密逐级审查制度，坚持“先审查、后公开”和“一事一审”原则，将政府信息公开保密审查程序与公文运转流程、信息发布程序有机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65" w:lineRule="atLeast"/>
        <w:ind w:left="0" w:right="0" w:firstLine="555"/>
        <w:jc w:val="both"/>
        <w:rPr>
          <w:rFonts w:hint="eastAsia" w:ascii="仿宋_gb2312" w:hAnsi="仿宋_gb2312" w:eastAsia="仿宋_gb2312" w:cs="仿宋_gb2312"/>
          <w:i w:val="0"/>
          <w:caps w:val="0"/>
          <w:color w:val="333333"/>
          <w:spacing w:val="0"/>
          <w:sz w:val="28"/>
          <w:szCs w:val="28"/>
          <w:shd w:val="clear" w:fill="FFFFFF"/>
          <w:lang w:val="en-US" w:eastAsia="zh-CN"/>
        </w:rPr>
      </w:pPr>
      <w:r>
        <w:rPr>
          <w:rFonts w:hint="eastAsia"/>
          <w:color w:val="333333"/>
          <w:sz w:val="29"/>
          <w:szCs w:val="29"/>
          <w:lang w:eastAsia="zh-CN"/>
        </w:rPr>
        <w:t>五是职责明确，强化监督。</w:t>
      </w:r>
      <w:r>
        <w:rPr>
          <w:rFonts w:hint="default" w:ascii="仿宋_gb2312" w:hAnsi="仿宋_gb2312" w:eastAsia="仿宋_gb2312" w:cs="仿宋_gb2312"/>
          <w:i w:val="0"/>
          <w:caps w:val="0"/>
          <w:color w:val="333333"/>
          <w:spacing w:val="0"/>
          <w:sz w:val="28"/>
          <w:szCs w:val="28"/>
          <w:shd w:val="clear" w:fill="FFFFFF"/>
        </w:rPr>
        <w:t>结合工作实际，管委会先后研究制定了《百丈山机关干部管理制度》和《百丈山干部考核制度》等一系列工作管理规定，从职责分工、科学民主决策程序、工作安排布局和落实、人事及财务管理、作风纪律等方面进一步明确了工作人员的工作职责。为切实推进政务公开水平，管委会进一步强化了行政行为曝光制，强化责任追究，以明确行政过错行为追究范围、责任划分、责任追究方式和责任追究的实施，从制度上保证依法行政，努力推动政务公开再上新台阶。</w:t>
      </w: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主动公开政府信息情况</w:t>
      </w:r>
    </w:p>
    <w:tbl>
      <w:tblPr>
        <w:tblStyle w:val="3"/>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460"/>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本年新制作数量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本年新公开数量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sz w:val="24"/>
              </w:rPr>
            </w:pPr>
            <w:r>
              <w:rPr>
                <w:rFonts w:hint="eastAsia" w:ascii="仿宋" w:hAnsi="仿宋" w:eastAsia="仿宋" w:cs="仿宋"/>
                <w:sz w:val="24"/>
              </w:rPr>
              <w:t>规    章</w:t>
            </w:r>
          </w:p>
        </w:tc>
        <w:tc>
          <w:tcPr>
            <w:tcW w:w="2460" w:type="dxa"/>
            <w:shd w:val="clear" w:color="auto" w:fill="auto"/>
          </w:tcPr>
          <w:p>
            <w:pPr>
              <w:spacing w:line="460" w:lineRule="exact"/>
              <w:jc w:val="left"/>
              <w:rPr>
                <w:rFonts w:hint="default" w:ascii="仿宋" w:hAnsi="仿宋" w:eastAsia="仿宋" w:cs="仿宋"/>
                <w:color w:val="FF0000"/>
                <w:szCs w:val="21"/>
                <w:lang w:val="en-US" w:eastAsia="zh-CN"/>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202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229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规范性文件</w:t>
            </w:r>
          </w:p>
        </w:tc>
        <w:tc>
          <w:tcPr>
            <w:tcW w:w="2460" w:type="dxa"/>
            <w:shd w:val="clear" w:color="auto" w:fill="auto"/>
          </w:tcPr>
          <w:p>
            <w:pPr>
              <w:spacing w:line="460" w:lineRule="exact"/>
              <w:jc w:val="left"/>
              <w:rPr>
                <w:rFonts w:hint="eastAsia" w:ascii="仿宋" w:hAnsi="仿宋" w:eastAsia="仿宋" w:cs="仿宋"/>
                <w:color w:val="FF0000"/>
                <w:szCs w:val="21"/>
                <w:lang w:val="en-US" w:eastAsia="zh-CN"/>
              </w:rPr>
            </w:pPr>
            <w:r>
              <w:rPr>
                <w:rFonts w:hint="eastAsia" w:ascii="仿宋_gb2312" w:hAnsi="仿宋_gb2312" w:eastAsia="仿宋_gb2312" w:cs="仿宋_gb2312"/>
                <w:i w:val="0"/>
                <w:caps w:val="0"/>
                <w:color w:val="333333"/>
                <w:spacing w:val="0"/>
                <w:sz w:val="28"/>
                <w:szCs w:val="28"/>
                <w:shd w:val="clear" w:fill="FFFFFF"/>
                <w:lang w:val="en-US" w:eastAsia="zh-CN"/>
              </w:rPr>
              <w:t>7</w:t>
            </w:r>
          </w:p>
        </w:tc>
        <w:tc>
          <w:tcPr>
            <w:tcW w:w="202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7</w:t>
            </w:r>
          </w:p>
        </w:tc>
        <w:tc>
          <w:tcPr>
            <w:tcW w:w="229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上一年项目数量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本年增/减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行政许可</w:t>
            </w:r>
          </w:p>
        </w:tc>
        <w:tc>
          <w:tcPr>
            <w:tcW w:w="2460"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202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229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其他对外管理服务事项</w:t>
            </w:r>
          </w:p>
        </w:tc>
        <w:tc>
          <w:tcPr>
            <w:tcW w:w="2460"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202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229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上一年项目数量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本年增/减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行政处罚</w:t>
            </w:r>
          </w:p>
        </w:tc>
        <w:tc>
          <w:tcPr>
            <w:tcW w:w="2460"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202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229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行政强制</w:t>
            </w:r>
          </w:p>
        </w:tc>
        <w:tc>
          <w:tcPr>
            <w:tcW w:w="2460"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202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2295"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上一年项目数量</w:t>
            </w:r>
          </w:p>
        </w:tc>
        <w:tc>
          <w:tcPr>
            <w:tcW w:w="4320" w:type="dxa"/>
            <w:gridSpan w:val="2"/>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行政事业性收费</w:t>
            </w:r>
          </w:p>
        </w:tc>
        <w:tc>
          <w:tcPr>
            <w:tcW w:w="2460"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4320" w:type="dxa"/>
            <w:gridSpan w:val="2"/>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采购项目数量</w:t>
            </w:r>
          </w:p>
        </w:tc>
        <w:tc>
          <w:tcPr>
            <w:tcW w:w="4320" w:type="dxa"/>
            <w:gridSpan w:val="2"/>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政府集中采购</w:t>
            </w:r>
          </w:p>
        </w:tc>
        <w:tc>
          <w:tcPr>
            <w:tcW w:w="2460" w:type="dxa"/>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4320" w:type="dxa"/>
            <w:gridSpan w:val="2"/>
            <w:shd w:val="clear" w:color="auto" w:fill="auto"/>
          </w:tcPr>
          <w:p>
            <w:pPr>
              <w:spacing w:line="460" w:lineRule="exact"/>
              <w:jc w:val="left"/>
              <w:rPr>
                <w:rFonts w:ascii="仿宋" w:hAnsi="仿宋" w:eastAsia="仿宋" w:cs="仿宋"/>
                <w:color w:val="FF0000"/>
                <w:szCs w:val="21"/>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bl>
    <w:p>
      <w:pPr>
        <w:spacing w:line="540" w:lineRule="exact"/>
        <w:rPr>
          <w:rFonts w:ascii="仿宋_gb2312" w:hAnsi="仿宋" w:eastAsia="仿宋_gb2312" w:cs="仿宋"/>
          <w:b/>
          <w:sz w:val="32"/>
          <w:szCs w:val="32"/>
        </w:rPr>
      </w:pP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收到和处理政府信息公开申请情况</w:t>
      </w:r>
    </w:p>
    <w:tbl>
      <w:tblPr>
        <w:tblStyle w:val="3"/>
        <w:tblW w:w="9046" w:type="dxa"/>
        <w:tblInd w:w="-2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1053"/>
        <w:gridCol w:w="1134"/>
        <w:gridCol w:w="972"/>
        <w:gridCol w:w="1080"/>
        <w:gridCol w:w="1110"/>
        <w:gridCol w:w="80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restart"/>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color w:val="181717" w:themeColor="background2" w:themeShade="1A"/>
                <w:sz w:val="24"/>
                <w:szCs w:val="24"/>
              </w:rPr>
              <w:t>本列数据的勾稽关系为：第一项加第二项之和，等于第三项加第四项之和</w:t>
            </w:r>
          </w:p>
        </w:tc>
        <w:tc>
          <w:tcPr>
            <w:tcW w:w="6865" w:type="dxa"/>
            <w:gridSpan w:val="7"/>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vAlign w:val="center"/>
          </w:tcPr>
          <w:p>
            <w:pPr>
              <w:spacing w:line="300" w:lineRule="exact"/>
              <w:jc w:val="center"/>
              <w:rPr>
                <w:rFonts w:ascii="仿宋" w:hAnsi="仿宋" w:eastAsia="仿宋" w:cs="仿宋"/>
                <w:sz w:val="24"/>
                <w:szCs w:val="24"/>
              </w:rPr>
            </w:pPr>
          </w:p>
        </w:tc>
        <w:tc>
          <w:tcPr>
            <w:tcW w:w="1053" w:type="dxa"/>
            <w:vMerge w:val="restart"/>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自然人</w:t>
            </w:r>
          </w:p>
        </w:tc>
        <w:tc>
          <w:tcPr>
            <w:tcW w:w="5103" w:type="dxa"/>
            <w:gridSpan w:val="5"/>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法人或其他组织</w:t>
            </w:r>
          </w:p>
        </w:tc>
        <w:tc>
          <w:tcPr>
            <w:tcW w:w="709" w:type="dxa"/>
            <w:vMerge w:val="restart"/>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2181" w:type="dxa"/>
            <w:vMerge w:val="continue"/>
            <w:shd w:val="clear" w:color="auto" w:fill="auto"/>
            <w:vAlign w:val="center"/>
          </w:tcPr>
          <w:p>
            <w:pPr>
              <w:spacing w:line="300" w:lineRule="exact"/>
              <w:jc w:val="center"/>
              <w:rPr>
                <w:rFonts w:ascii="仿宋" w:hAnsi="仿宋" w:eastAsia="仿宋" w:cs="仿宋"/>
                <w:sz w:val="24"/>
                <w:szCs w:val="24"/>
              </w:rPr>
            </w:pPr>
          </w:p>
        </w:tc>
        <w:tc>
          <w:tcPr>
            <w:tcW w:w="1053" w:type="dxa"/>
            <w:vMerge w:val="continue"/>
            <w:shd w:val="clear" w:color="auto" w:fill="auto"/>
            <w:vAlign w:val="center"/>
          </w:tcPr>
          <w:p>
            <w:pPr>
              <w:spacing w:line="300" w:lineRule="exact"/>
              <w:jc w:val="center"/>
              <w:rPr>
                <w:rFonts w:ascii="仿宋" w:hAnsi="仿宋" w:eastAsia="仿宋" w:cs="仿宋"/>
                <w:sz w:val="24"/>
                <w:szCs w:val="24"/>
              </w:rPr>
            </w:pPr>
          </w:p>
        </w:tc>
        <w:tc>
          <w:tcPr>
            <w:tcW w:w="1134"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商业</w:t>
            </w:r>
          </w:p>
          <w:p>
            <w:pPr>
              <w:spacing w:line="300" w:lineRule="exact"/>
              <w:jc w:val="center"/>
              <w:rPr>
                <w:rFonts w:ascii="仿宋" w:hAnsi="仿宋" w:eastAsia="仿宋" w:cs="仿宋"/>
                <w:sz w:val="24"/>
                <w:szCs w:val="24"/>
              </w:rPr>
            </w:pPr>
            <w:r>
              <w:rPr>
                <w:rFonts w:hint="eastAsia" w:ascii="仿宋" w:hAnsi="仿宋" w:eastAsia="仿宋" w:cs="仿宋"/>
                <w:sz w:val="24"/>
                <w:szCs w:val="24"/>
              </w:rPr>
              <w:t>企业</w:t>
            </w:r>
          </w:p>
        </w:tc>
        <w:tc>
          <w:tcPr>
            <w:tcW w:w="972"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科研</w:t>
            </w:r>
          </w:p>
          <w:p>
            <w:pPr>
              <w:spacing w:line="300" w:lineRule="exact"/>
              <w:jc w:val="center"/>
              <w:rPr>
                <w:rFonts w:ascii="仿宋" w:hAnsi="仿宋" w:eastAsia="仿宋" w:cs="仿宋"/>
                <w:sz w:val="24"/>
                <w:szCs w:val="24"/>
              </w:rPr>
            </w:pPr>
            <w:r>
              <w:rPr>
                <w:rFonts w:hint="eastAsia" w:ascii="仿宋" w:hAnsi="仿宋" w:eastAsia="仿宋" w:cs="仿宋"/>
                <w:sz w:val="24"/>
                <w:szCs w:val="24"/>
              </w:rPr>
              <w:t>机构</w:t>
            </w:r>
          </w:p>
        </w:tc>
        <w:tc>
          <w:tcPr>
            <w:tcW w:w="108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社会公益组织</w:t>
            </w:r>
          </w:p>
        </w:tc>
        <w:tc>
          <w:tcPr>
            <w:tcW w:w="111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法律服务机构</w:t>
            </w:r>
          </w:p>
        </w:tc>
        <w:tc>
          <w:tcPr>
            <w:tcW w:w="807"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其他</w:t>
            </w:r>
          </w:p>
        </w:tc>
        <w:tc>
          <w:tcPr>
            <w:tcW w:w="709" w:type="dxa"/>
            <w:vMerge w:val="continue"/>
            <w:shd w:val="clear" w:color="auto" w:fill="auto"/>
            <w:vAlign w:val="center"/>
          </w:tcPr>
          <w:p>
            <w:pPr>
              <w:spacing w:line="3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shd w:val="clear" w:color="auto" w:fill="auto"/>
          </w:tcPr>
          <w:p>
            <w:pPr>
              <w:spacing w:line="300" w:lineRule="exact"/>
              <w:rPr>
                <w:rFonts w:ascii="仿宋" w:hAnsi="仿宋" w:eastAsia="仿宋" w:cs="仿宋"/>
                <w:sz w:val="24"/>
                <w:szCs w:val="24"/>
              </w:rPr>
            </w:pPr>
            <w:r>
              <w:rPr>
                <w:rFonts w:hint="eastAsia" w:ascii="仿宋" w:hAnsi="仿宋" w:eastAsia="仿宋" w:cs="仿宋"/>
                <w:b/>
                <w:color w:val="535353" w:themeColor="accent3" w:themeShade="80"/>
                <w:sz w:val="24"/>
                <w:szCs w:val="24"/>
              </w:rPr>
              <w:t>一</w:t>
            </w:r>
            <w:r>
              <w:rPr>
                <w:rFonts w:hint="eastAsia" w:ascii="仿宋" w:hAnsi="仿宋" w:eastAsia="仿宋" w:cs="仿宋"/>
                <w:sz w:val="24"/>
                <w:szCs w:val="24"/>
              </w:rPr>
              <w:t>、本年新收政府信息公开申请数量</w:t>
            </w:r>
          </w:p>
        </w:tc>
        <w:tc>
          <w:tcPr>
            <w:tcW w:w="1053" w:type="dxa"/>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shd w:val="clear" w:color="auto" w:fill="auto"/>
          </w:tcPr>
          <w:p>
            <w:pPr>
              <w:spacing w:line="300" w:lineRule="exact"/>
              <w:rPr>
                <w:rFonts w:ascii="仿宋" w:hAnsi="仿宋" w:eastAsia="仿宋" w:cs="仿宋"/>
                <w:sz w:val="24"/>
                <w:szCs w:val="24"/>
              </w:rPr>
            </w:pPr>
            <w:r>
              <w:rPr>
                <w:rFonts w:hint="eastAsia" w:ascii="仿宋" w:hAnsi="仿宋" w:eastAsia="仿宋" w:cs="仿宋"/>
                <w:b/>
                <w:color w:val="535353" w:themeColor="accent3" w:themeShade="80"/>
                <w:sz w:val="24"/>
                <w:szCs w:val="24"/>
              </w:rPr>
              <w:t>二</w:t>
            </w:r>
            <w:r>
              <w:rPr>
                <w:rFonts w:hint="eastAsia" w:ascii="仿宋" w:hAnsi="仿宋" w:eastAsia="仿宋" w:cs="仿宋"/>
                <w:sz w:val="24"/>
                <w:szCs w:val="24"/>
              </w:rPr>
              <w:t>、上年结转政府信息公开申请数量</w:t>
            </w:r>
          </w:p>
        </w:tc>
        <w:tc>
          <w:tcPr>
            <w:tcW w:w="1053" w:type="dxa"/>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restart"/>
            <w:shd w:val="clear" w:color="auto" w:fill="auto"/>
          </w:tcPr>
          <w:p>
            <w:pPr>
              <w:spacing w:line="300" w:lineRule="exact"/>
              <w:rPr>
                <w:rFonts w:ascii="仿宋" w:hAnsi="仿宋" w:eastAsia="仿宋" w:cs="仿宋"/>
                <w:sz w:val="24"/>
                <w:szCs w:val="24"/>
              </w:rPr>
            </w:pPr>
            <w:r>
              <w:rPr>
                <w:rFonts w:hint="eastAsia" w:ascii="仿宋" w:hAnsi="仿宋" w:eastAsia="仿宋" w:cs="仿宋"/>
                <w:b/>
                <w:color w:val="535353" w:themeColor="accent3" w:themeShade="80"/>
                <w:sz w:val="24"/>
                <w:szCs w:val="24"/>
              </w:rPr>
              <w:t>三</w:t>
            </w:r>
            <w:r>
              <w:rPr>
                <w:rFonts w:hint="eastAsia" w:ascii="仿宋" w:hAnsi="仿宋" w:eastAsia="仿宋" w:cs="仿宋"/>
                <w:sz w:val="24"/>
                <w:szCs w:val="24"/>
              </w:rPr>
              <w:t>、本年度办理结果</w:t>
            </w:r>
          </w:p>
        </w:tc>
        <w:tc>
          <w:tcPr>
            <w:tcW w:w="2187" w:type="dxa"/>
            <w:gridSpan w:val="2"/>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（一）予以公开</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2187" w:type="dxa"/>
            <w:gridSpan w:val="2"/>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（二）部分公开（区分处理的，只记这一情形，不记其他情形）</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restart"/>
            <w:shd w:val="clear" w:color="auto" w:fill="auto"/>
            <w:vAlign w:val="center"/>
          </w:tcPr>
          <w:p>
            <w:pPr>
              <w:spacing w:line="300" w:lineRule="exact"/>
              <w:rPr>
                <w:rFonts w:ascii="仿宋" w:hAnsi="仿宋" w:eastAsia="仿宋" w:cs="仿宋"/>
                <w:sz w:val="24"/>
                <w:szCs w:val="24"/>
              </w:rPr>
            </w:pPr>
            <w:r>
              <w:rPr>
                <w:rFonts w:hint="eastAsia" w:ascii="仿宋" w:hAnsi="仿宋" w:eastAsia="仿宋" w:cs="仿宋"/>
                <w:sz w:val="24"/>
                <w:szCs w:val="24"/>
              </w:rPr>
              <w:t>（三）不予公开</w:t>
            </w: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1.属于国家秘密</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jc w:val="center"/>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2.其他法律行政法规禁止公开</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jc w:val="center"/>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3.危及“三安全一稳定”</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jc w:val="center"/>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4.保护第三方合法权益</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5.属于三类内部事务信息</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6.属于四类过程性信息</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7.属于行政执法案卷</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8.属于行政查询事项</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restart"/>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（四）无法提供</w:t>
            </w: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1.本机关不掌握相关政府信息</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2.没有现成信息需要另行制作</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3.补正后申请内容仍不明确</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restart"/>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（五）不予处理</w:t>
            </w: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1.信访投诉举报类申请</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2.重复申请</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3.要求提供公开出版物</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4.无正当理由大量反复申请</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5.要求行政机关确认或重新出具已获取信息</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2187" w:type="dxa"/>
            <w:gridSpan w:val="2"/>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（六）其他处理</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1" w:type="dxa"/>
            <w:shd w:val="clear" w:color="auto" w:fill="auto"/>
          </w:tcPr>
          <w:p>
            <w:pPr>
              <w:spacing w:line="300" w:lineRule="exact"/>
              <w:rPr>
                <w:rFonts w:ascii="仿宋" w:hAnsi="仿宋" w:eastAsia="仿宋" w:cs="仿宋"/>
                <w:sz w:val="24"/>
                <w:szCs w:val="24"/>
              </w:rPr>
            </w:pPr>
          </w:p>
        </w:tc>
        <w:tc>
          <w:tcPr>
            <w:tcW w:w="2187" w:type="dxa"/>
            <w:gridSpan w:val="2"/>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（七）总计</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gridSpan w:val="3"/>
            <w:shd w:val="clear" w:color="auto" w:fill="auto"/>
          </w:tcPr>
          <w:p>
            <w:pPr>
              <w:spacing w:line="300" w:lineRule="exact"/>
              <w:rPr>
                <w:rFonts w:ascii="仿宋" w:hAnsi="仿宋" w:eastAsia="仿宋" w:cs="仿宋"/>
                <w:sz w:val="24"/>
                <w:szCs w:val="24"/>
              </w:rPr>
            </w:pPr>
            <w:r>
              <w:rPr>
                <w:rFonts w:hint="eastAsia" w:ascii="仿宋" w:hAnsi="仿宋" w:eastAsia="仿宋" w:cs="仿宋"/>
                <w:b w:val="0"/>
                <w:bCs/>
                <w:color w:val="535353" w:themeColor="accent3" w:themeShade="80"/>
                <w:sz w:val="24"/>
                <w:szCs w:val="24"/>
              </w:rPr>
              <w:t>四</w:t>
            </w:r>
            <w:r>
              <w:rPr>
                <w:rFonts w:hint="eastAsia" w:ascii="仿宋" w:hAnsi="仿宋" w:eastAsia="仿宋" w:cs="仿宋"/>
                <w:sz w:val="24"/>
                <w:szCs w:val="24"/>
              </w:rPr>
              <w:t>、结转下年度继续办理</w:t>
            </w:r>
          </w:p>
        </w:tc>
        <w:tc>
          <w:tcPr>
            <w:tcW w:w="972" w:type="dxa"/>
            <w:shd w:val="clear" w:color="auto" w:fill="auto"/>
          </w:tcPr>
          <w:p>
            <w:pPr>
              <w:spacing w:line="300" w:lineRule="exact"/>
              <w:rPr>
                <w:rFonts w:ascii="仿宋" w:hAnsi="仿宋" w:eastAsia="仿宋" w:cs="仿宋"/>
                <w:sz w:val="24"/>
                <w:szCs w:val="24"/>
              </w:rPr>
            </w:pPr>
          </w:p>
        </w:tc>
        <w:tc>
          <w:tcPr>
            <w:tcW w:w="1080" w:type="dxa"/>
            <w:shd w:val="clear" w:color="auto" w:fill="auto"/>
          </w:tcPr>
          <w:p>
            <w:pPr>
              <w:spacing w:line="300" w:lineRule="exact"/>
              <w:rPr>
                <w:rFonts w:ascii="仿宋" w:hAnsi="仿宋" w:eastAsia="仿宋" w:cs="仿宋"/>
                <w:sz w:val="24"/>
                <w:szCs w:val="24"/>
              </w:rPr>
            </w:pPr>
          </w:p>
        </w:tc>
        <w:tc>
          <w:tcPr>
            <w:tcW w:w="1110" w:type="dxa"/>
            <w:shd w:val="clear" w:color="auto" w:fill="auto"/>
          </w:tcPr>
          <w:p>
            <w:pPr>
              <w:spacing w:line="300" w:lineRule="exact"/>
              <w:rPr>
                <w:rFonts w:ascii="仿宋" w:hAnsi="仿宋" w:eastAsia="仿宋" w:cs="仿宋"/>
                <w:sz w:val="24"/>
                <w:szCs w:val="24"/>
              </w:rPr>
            </w:pPr>
          </w:p>
        </w:tc>
        <w:tc>
          <w:tcPr>
            <w:tcW w:w="807" w:type="dxa"/>
            <w:shd w:val="clear" w:color="auto" w:fill="auto"/>
          </w:tcPr>
          <w:p>
            <w:pPr>
              <w:spacing w:line="300" w:lineRule="exact"/>
              <w:rPr>
                <w:rFonts w:ascii="仿宋" w:hAnsi="仿宋" w:eastAsia="仿宋" w:cs="仿宋"/>
                <w:sz w:val="24"/>
                <w:szCs w:val="24"/>
              </w:rPr>
            </w:pPr>
          </w:p>
        </w:tc>
        <w:tc>
          <w:tcPr>
            <w:tcW w:w="709" w:type="dxa"/>
            <w:shd w:val="clear" w:color="auto" w:fill="auto"/>
          </w:tcPr>
          <w:p>
            <w:pPr>
              <w:spacing w:line="300" w:lineRule="exact"/>
              <w:rPr>
                <w:rFonts w:ascii="仿宋" w:hAnsi="仿宋" w:eastAsia="仿宋" w:cs="仿宋"/>
                <w:sz w:val="24"/>
                <w:szCs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bl>
    <w:p>
      <w:pPr>
        <w:spacing w:line="540" w:lineRule="exact"/>
        <w:ind w:left="640"/>
        <w:rPr>
          <w:rFonts w:ascii="仿宋" w:hAnsi="仿宋" w:eastAsia="仿宋" w:cs="仿宋"/>
        </w:rPr>
      </w:pP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政府信息公开行政复议、行政诉讼情况</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行政复议</w:t>
            </w:r>
            <w:r>
              <w:rPr>
                <w:rFonts w:ascii="仿宋" w:hAnsi="仿宋" w:eastAsia="仿宋" w:cs="仿宋"/>
                <w:sz w:val="24"/>
              </w:rPr>
              <w:br w:type="textWrapping"/>
            </w:r>
          </w:p>
        </w:tc>
        <w:tc>
          <w:tcPr>
            <w:tcW w:w="5680" w:type="dxa"/>
            <w:gridSpan w:val="10"/>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行政诉讼</w:t>
            </w:r>
            <w:r>
              <w:rPr>
                <w:rFonts w:ascii="仿宋" w:hAnsi="仿宋" w:eastAsia="仿宋" w:cs="仿宋"/>
                <w:sz w:val="24"/>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color w:val="333333"/>
                <w:sz w:val="24"/>
                <w:shd w:val="clear" w:color="auto" w:fill="FFFFFF"/>
              </w:rPr>
              <w:t>未经复议直接起诉</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c>
          <w:tcPr>
            <w:tcW w:w="568" w:type="dxa"/>
            <w:shd w:val="clear" w:color="auto" w:fill="auto"/>
          </w:tcPr>
          <w:p>
            <w:pPr>
              <w:spacing w:line="540" w:lineRule="exact"/>
              <w:rPr>
                <w:rFonts w:ascii="仿宋" w:hAnsi="仿宋" w:eastAsia="仿宋" w:cs="仿宋"/>
                <w:sz w:val="24"/>
              </w:rPr>
            </w:pPr>
            <w:r>
              <w:rPr>
                <w:rFonts w:hint="eastAsia" w:ascii="仿宋_gb2312" w:hAnsi="仿宋_gb2312" w:eastAsia="仿宋_gb2312" w:cs="仿宋_gb2312"/>
                <w:i w:val="0"/>
                <w:caps w:val="0"/>
                <w:color w:val="333333"/>
                <w:spacing w:val="0"/>
                <w:sz w:val="28"/>
                <w:szCs w:val="28"/>
                <w:shd w:val="clear" w:fill="FFFFFF"/>
                <w:lang w:val="en-US" w:eastAsia="zh-CN"/>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65" w:lineRule="atLeast"/>
        <w:ind w:left="0" w:right="0" w:firstLine="555"/>
        <w:jc w:val="both"/>
        <w:rPr>
          <w:rStyle w:val="5"/>
          <w:rFonts w:hint="eastAsia" w:ascii="黑体" w:hAnsi="宋体" w:eastAsia="黑体" w:cs="黑体"/>
          <w:i w:val="0"/>
          <w:caps w:val="0"/>
          <w:color w:val="333333"/>
          <w:spacing w:val="0"/>
          <w:sz w:val="24"/>
          <w:szCs w:val="24"/>
          <w:shd w:val="clear" w:fill="FFFFFF"/>
        </w:rPr>
      </w:pPr>
    </w:p>
    <w:p>
      <w:pPr>
        <w:pStyle w:val="2"/>
        <w:shd w:val="clear" w:color="auto" w:fill="FFFFFF"/>
        <w:spacing w:before="0" w:beforeAutospacing="0" w:after="0" w:afterAutospacing="0" w:line="408" w:lineRule="atLeast"/>
        <w:jc w:val="both"/>
        <w:rPr>
          <w:rStyle w:val="5"/>
          <w:rFonts w:hint="eastAsia" w:ascii="黑体" w:hAnsi="宋体" w:eastAsia="黑体" w:cs="黑体"/>
          <w:i w:val="0"/>
          <w:caps w:val="0"/>
          <w:color w:val="333333"/>
          <w:spacing w:val="0"/>
          <w:sz w:val="24"/>
          <w:szCs w:val="24"/>
          <w:shd w:val="clear" w:fill="FFFFFF"/>
        </w:rPr>
      </w:pPr>
      <w:r>
        <w:rPr>
          <w:rFonts w:hint="eastAsia" w:ascii="黑体" w:hAnsi="黑体" w:eastAsia="黑体"/>
          <w:color w:val="333333"/>
          <w:sz w:val="29"/>
          <w:szCs w:val="29"/>
        </w:rPr>
        <w:t>五、存在的主要问题和改进情况</w:t>
      </w:r>
    </w:p>
    <w:p>
      <w:pPr>
        <w:pStyle w:val="2"/>
        <w:shd w:val="clear" w:color="auto" w:fill="FFFFFF"/>
        <w:spacing w:before="0" w:beforeAutospacing="0" w:after="0" w:afterAutospacing="0" w:line="408" w:lineRule="atLeast"/>
        <w:ind w:firstLine="584"/>
        <w:jc w:val="both"/>
        <w:rPr>
          <w:rFonts w:hint="eastAsia" w:ascii="微软雅黑" w:hAnsi="微软雅黑" w:eastAsia="微软雅黑"/>
          <w:color w:val="333333"/>
          <w:sz w:val="23"/>
          <w:szCs w:val="23"/>
        </w:rPr>
      </w:pPr>
      <w:r>
        <w:rPr>
          <w:rFonts w:hint="eastAsia" w:ascii="仿宋_gb2312" w:eastAsia="仿宋_gb2312"/>
          <w:color w:val="333333"/>
          <w:sz w:val="29"/>
          <w:szCs w:val="29"/>
        </w:rPr>
        <w:t>2020</w:t>
      </w:r>
      <w:r>
        <w:rPr>
          <w:rFonts w:hint="eastAsia"/>
          <w:color w:val="333333"/>
          <w:sz w:val="29"/>
          <w:szCs w:val="29"/>
        </w:rPr>
        <w:t>年，</w:t>
      </w:r>
      <w:r>
        <w:rPr>
          <w:rFonts w:hint="eastAsia"/>
          <w:color w:val="333333"/>
          <w:sz w:val="29"/>
          <w:szCs w:val="29"/>
          <w:lang w:eastAsia="zh-CN"/>
        </w:rPr>
        <w:t>百丈山管委会</w:t>
      </w:r>
      <w:r>
        <w:rPr>
          <w:rFonts w:hint="eastAsia"/>
          <w:color w:val="333333"/>
          <w:sz w:val="29"/>
          <w:szCs w:val="29"/>
        </w:rPr>
        <w:t>政府信息公开工作虽然取得了一定成绩，但与《条例》的要求和公众的需求还有差距。一是政务信息公开意识不强。二是政务信息公开工作人员素质有待加强。三是政务信息公开力度有待进一步加大。</w:t>
      </w:r>
    </w:p>
    <w:p>
      <w:pPr>
        <w:pStyle w:val="2"/>
        <w:shd w:val="clear" w:color="auto" w:fill="FFFFFF"/>
        <w:spacing w:before="0" w:beforeAutospacing="0" w:after="0" w:afterAutospacing="0" w:line="408" w:lineRule="atLeast"/>
        <w:ind w:firstLine="584"/>
        <w:jc w:val="both"/>
        <w:rPr>
          <w:rFonts w:hint="eastAsia" w:ascii="微软雅黑" w:hAnsi="微软雅黑" w:eastAsia="微软雅黑"/>
          <w:color w:val="333333"/>
          <w:sz w:val="23"/>
          <w:szCs w:val="23"/>
        </w:rPr>
      </w:pPr>
      <w:r>
        <w:rPr>
          <w:rFonts w:hint="eastAsia"/>
          <w:color w:val="333333"/>
          <w:sz w:val="29"/>
          <w:szCs w:val="29"/>
        </w:rPr>
        <w:t>下一步，</w:t>
      </w:r>
      <w:r>
        <w:rPr>
          <w:rFonts w:hint="eastAsia"/>
          <w:color w:val="333333"/>
          <w:sz w:val="29"/>
          <w:szCs w:val="29"/>
          <w:lang w:eastAsia="zh-CN"/>
        </w:rPr>
        <w:t>百丈山管委会</w:t>
      </w:r>
      <w:r>
        <w:rPr>
          <w:rFonts w:hint="eastAsia"/>
          <w:color w:val="333333"/>
          <w:sz w:val="29"/>
          <w:szCs w:val="29"/>
        </w:rPr>
        <w:t>将按照要求不断改进和提高，重点抓好以下</w:t>
      </w:r>
      <w:r>
        <w:rPr>
          <w:rFonts w:hint="eastAsia"/>
          <w:color w:val="333333"/>
          <w:sz w:val="29"/>
          <w:szCs w:val="29"/>
          <w:lang w:eastAsia="zh-CN"/>
        </w:rPr>
        <w:t>三</w:t>
      </w:r>
      <w:r>
        <w:rPr>
          <w:rFonts w:hint="eastAsia"/>
          <w:color w:val="333333"/>
          <w:sz w:val="29"/>
          <w:szCs w:val="29"/>
        </w:rPr>
        <w:t>项工作：</w:t>
      </w:r>
    </w:p>
    <w:p>
      <w:pPr>
        <w:pStyle w:val="2"/>
        <w:shd w:val="clear" w:color="auto" w:fill="FFFFFF"/>
        <w:spacing w:before="0" w:beforeAutospacing="0" w:after="0" w:afterAutospacing="0" w:line="408" w:lineRule="atLeast"/>
        <w:ind w:firstLine="584"/>
        <w:jc w:val="both"/>
        <w:rPr>
          <w:rFonts w:hint="eastAsia" w:ascii="微软雅黑" w:hAnsi="微软雅黑" w:eastAsia="微软雅黑"/>
          <w:color w:val="333333"/>
          <w:sz w:val="28"/>
          <w:szCs w:val="28"/>
        </w:rPr>
      </w:pPr>
      <w:r>
        <w:rPr>
          <w:rFonts w:hint="eastAsia"/>
          <w:color w:val="333333"/>
          <w:sz w:val="28"/>
          <w:szCs w:val="28"/>
          <w:lang w:eastAsia="zh-CN"/>
        </w:rPr>
        <w:t>一</w:t>
      </w:r>
      <w:r>
        <w:rPr>
          <w:rFonts w:hint="eastAsia"/>
          <w:color w:val="333333"/>
          <w:sz w:val="28"/>
          <w:szCs w:val="28"/>
        </w:rPr>
        <w:t>是加大培训力度，采取专题授课的方式，组织系统内政务公开工作人员参加教育和培训，切实提升其政策水平和业务水平。</w:t>
      </w:r>
    </w:p>
    <w:p>
      <w:pPr>
        <w:pStyle w:val="2"/>
        <w:shd w:val="clear" w:color="auto" w:fill="FFFFFF"/>
        <w:spacing w:before="0" w:beforeAutospacing="0" w:after="0" w:afterAutospacing="0" w:line="408" w:lineRule="atLeast"/>
        <w:ind w:firstLine="584"/>
        <w:jc w:val="both"/>
        <w:rPr>
          <w:rFonts w:hint="eastAsia" w:ascii="微软雅黑" w:hAnsi="微软雅黑" w:eastAsia="宋体"/>
          <w:color w:val="333333"/>
          <w:sz w:val="23"/>
          <w:szCs w:val="23"/>
          <w:lang w:eastAsia="zh-CN"/>
        </w:rPr>
      </w:pPr>
      <w:r>
        <w:rPr>
          <w:rFonts w:hint="eastAsia"/>
          <w:color w:val="333333"/>
          <w:sz w:val="29"/>
          <w:szCs w:val="29"/>
          <w:lang w:eastAsia="zh-CN"/>
        </w:rPr>
        <w:t>二</w:t>
      </w:r>
      <w:r>
        <w:rPr>
          <w:rFonts w:hint="eastAsia"/>
          <w:color w:val="333333"/>
          <w:sz w:val="29"/>
          <w:szCs w:val="29"/>
        </w:rPr>
        <w:t>是加大信息公开力度。进一步完善信息公开制度，强化信息公开的责任意识、大局意识、服务意识，确保政务信息公开工作及时、准确，自觉接受社会公众对信息公开情况的监督</w:t>
      </w:r>
      <w:r>
        <w:rPr>
          <w:rFonts w:hint="eastAsia"/>
          <w:color w:val="333333"/>
          <w:sz w:val="29"/>
          <w:szCs w:val="29"/>
          <w:lang w:eastAsia="zh-CN"/>
        </w:rPr>
        <w:t>，</w:t>
      </w:r>
      <w:r>
        <w:rPr>
          <w:rFonts w:hint="eastAsia" w:ascii="宋体" w:hAnsi="宋体" w:eastAsia="宋体" w:cs="宋体"/>
          <w:i w:val="0"/>
          <w:caps w:val="0"/>
          <w:color w:val="333333"/>
          <w:spacing w:val="0"/>
          <w:sz w:val="28"/>
          <w:szCs w:val="28"/>
          <w:shd w:val="clear" w:fill="FFFFFF"/>
        </w:rPr>
        <w:t>逐步扩大政府信息公开的覆盖面。</w:t>
      </w:r>
    </w:p>
    <w:p>
      <w:pPr>
        <w:pStyle w:val="2"/>
        <w:shd w:val="clear" w:color="auto" w:fill="FFFFFF"/>
        <w:spacing w:before="0" w:beforeAutospacing="0" w:after="0" w:afterAutospacing="0" w:line="408" w:lineRule="atLeast"/>
        <w:ind w:firstLine="584"/>
        <w:jc w:val="both"/>
        <w:rPr>
          <w:rFonts w:hint="eastAsia" w:ascii="微软雅黑" w:hAnsi="微软雅黑" w:eastAsia="微软雅黑"/>
          <w:color w:val="333333"/>
          <w:sz w:val="23"/>
          <w:szCs w:val="23"/>
        </w:rPr>
      </w:pPr>
      <w:r>
        <w:rPr>
          <w:rFonts w:hint="eastAsia"/>
          <w:color w:val="333333"/>
          <w:sz w:val="29"/>
          <w:szCs w:val="29"/>
          <w:lang w:eastAsia="zh-CN"/>
        </w:rPr>
        <w:t>三</w:t>
      </w:r>
      <w:r>
        <w:rPr>
          <w:rFonts w:hint="eastAsia"/>
          <w:color w:val="333333"/>
          <w:sz w:val="29"/>
          <w:szCs w:val="29"/>
        </w:rPr>
        <w:t>是充分利用“互联网+”手段，进一步扩展信息公开渠道，将传统媒体和新媒体相结合，努力发挥媒体的信息公开作用。</w:t>
      </w:r>
    </w:p>
    <w:p>
      <w:pPr>
        <w:pStyle w:val="2"/>
        <w:shd w:val="clear" w:color="auto" w:fill="FFFFFF"/>
        <w:spacing w:before="0" w:beforeAutospacing="0" w:after="0" w:afterAutospacing="0" w:line="408" w:lineRule="atLeast"/>
        <w:ind w:firstLine="584"/>
        <w:jc w:val="both"/>
        <w:rPr>
          <w:rFonts w:hint="eastAsia" w:ascii="微软雅黑" w:hAnsi="微软雅黑" w:eastAsia="微软雅黑"/>
          <w:color w:val="333333"/>
          <w:sz w:val="23"/>
          <w:szCs w:val="23"/>
        </w:rPr>
      </w:pPr>
      <w:r>
        <w:rPr>
          <w:rFonts w:hint="eastAsia" w:ascii="黑体" w:hAnsi="黑体" w:eastAsia="黑体"/>
          <w:color w:val="333333"/>
          <w:sz w:val="29"/>
          <w:szCs w:val="29"/>
        </w:rPr>
        <w:t>六、其他需要报告的事项</w:t>
      </w:r>
    </w:p>
    <w:p>
      <w:pPr>
        <w:pStyle w:val="2"/>
        <w:shd w:val="clear" w:color="auto" w:fill="FFFFFF"/>
        <w:spacing w:before="0" w:beforeAutospacing="0" w:after="0" w:afterAutospacing="0" w:line="408" w:lineRule="atLeast"/>
        <w:ind w:firstLine="584"/>
        <w:jc w:val="both"/>
        <w:rPr>
          <w:rFonts w:hint="eastAsia" w:ascii="微软雅黑" w:hAnsi="微软雅黑" w:eastAsia="微软雅黑"/>
          <w:color w:val="333333"/>
          <w:sz w:val="23"/>
          <w:szCs w:val="23"/>
        </w:rPr>
      </w:pPr>
      <w:r>
        <w:rPr>
          <w:rFonts w:hint="eastAsia"/>
          <w:color w:val="333333"/>
          <w:sz w:val="29"/>
          <w:szCs w:val="29"/>
        </w:rPr>
        <w:t>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465" w:lineRule="atLeast"/>
        <w:ind w:right="0"/>
        <w:jc w:val="both"/>
        <w:rPr>
          <w:rFonts w:hint="eastAsia" w:ascii="微软雅黑" w:hAnsi="微软雅黑" w:eastAsia="微软雅黑" w:cs="微软雅黑"/>
          <w:i w:val="0"/>
          <w:caps w:val="0"/>
          <w:color w:val="333333"/>
          <w:spacing w:val="0"/>
          <w:sz w:val="25"/>
          <w:szCs w:val="25"/>
        </w:rPr>
      </w:pPr>
      <w:r>
        <w:rPr>
          <w:rStyle w:val="5"/>
          <w:rFonts w:hint="eastAsia" w:ascii="黑体" w:hAnsi="宋体" w:eastAsia="黑体" w:cs="黑体"/>
          <w:i w:val="0"/>
          <w:caps w:val="0"/>
          <w:color w:val="333333"/>
          <w:spacing w:val="0"/>
          <w:sz w:val="24"/>
          <w:szCs w:val="24"/>
          <w:shd w:val="clear" w:fill="FFFFFF"/>
        </w:rPr>
        <w:t> </w:t>
      </w:r>
    </w:p>
    <w:p>
      <w:pPr>
        <w:pStyle w:val="2"/>
        <w:shd w:val="clear" w:color="auto" w:fill="FFFFFF"/>
        <w:spacing w:before="0" w:beforeAutospacing="0" w:after="0" w:afterAutospacing="0" w:line="408" w:lineRule="atLeast"/>
        <w:ind w:firstLine="584"/>
        <w:jc w:val="both"/>
        <w:rPr>
          <w:rFonts w:hint="eastAsia" w:eastAsia="宋体"/>
          <w:color w:val="333333"/>
          <w:sz w:val="29"/>
          <w:szCs w:val="29"/>
          <w:lang w:eastAsia="zh-CN"/>
        </w:rPr>
      </w:pPr>
    </w:p>
    <w:p>
      <w:pPr>
        <w:rPr>
          <w:rFonts w:hint="eastAsia"/>
          <w:color w:val="000000"/>
          <w:sz w:val="29"/>
          <w:szCs w:val="29"/>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2000000000000000000"/>
    <w:charset w:val="86"/>
    <w:family w:val="auto"/>
    <w:pitch w:val="default"/>
    <w:sig w:usb0="00000001" w:usb1="08000000" w:usb2="00000000" w:usb3="00000000" w:csb0="00040000" w:csb1="00000000"/>
  </w:font>
  <w:font w:name="仿宋_gb2312">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9DB681"/>
    <w:multiLevelType w:val="singleLevel"/>
    <w:tmpl w:val="E49DB68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79288C"/>
    <w:rsid w:val="1A053220"/>
    <w:rsid w:val="495236D0"/>
    <w:rsid w:val="63114B34"/>
    <w:rsid w:val="66E83E2E"/>
    <w:rsid w:val="698A20AC"/>
    <w:rsid w:val="6B120238"/>
    <w:rsid w:val="7A164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2021-01-27T08:55:00Z</dcterms:created>
  <dc:creator>Administrator</dc:creator>
  <cp:lastModifiedBy>Administrator</cp:lastModifiedBy>
  <dcterms:modified xsi:type="dcterms:W3CDTF">2021-04-30T06:56:28Z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492F99C45A41478DB59B69C6809F6B59</vt:lpwstr>
  </property>
</Properties>
</file>