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600" w:lineRule="exact"/>
        <w:jc w:val="center"/>
        <w:rPr>
          <w:rFonts w:ascii="方正小标宋简体" w:hAnsi="宋体" w:eastAsia="方正小标宋简体" w:cs="宋体"/>
          <w:bCs/>
          <w:color w:val="333333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color w:val="333333"/>
          <w:kern w:val="0"/>
          <w:sz w:val="44"/>
          <w:szCs w:val="44"/>
        </w:rPr>
        <w:t>奉新县人社局2020年度政府信息公开</w:t>
      </w:r>
    </w:p>
    <w:p>
      <w:pPr>
        <w:widowControl/>
        <w:shd w:val="clear" w:color="auto" w:fill="FFFFFF"/>
        <w:spacing w:line="600" w:lineRule="exact"/>
        <w:jc w:val="center"/>
        <w:rPr>
          <w:rFonts w:ascii="方正小标宋简体" w:hAnsi="宋体" w:eastAsia="方正小标宋简体" w:cs="宋体"/>
          <w:color w:val="333333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color w:val="333333"/>
          <w:kern w:val="0"/>
          <w:sz w:val="44"/>
          <w:szCs w:val="44"/>
        </w:rPr>
        <w:t>工作年度报告</w:t>
      </w:r>
    </w:p>
    <w:p>
      <w:pPr>
        <w:widowControl/>
        <w:shd w:val="clear" w:color="auto" w:fill="FFFFFF"/>
        <w:spacing w:line="440" w:lineRule="exact"/>
        <w:rPr>
          <w:rFonts w:ascii="仿宋" w:hAnsi="仿宋" w:eastAsia="仿宋" w:cs="仿宋"/>
          <w:color w:val="333333"/>
          <w:kern w:val="0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根据《中华人民共和国政府信息公开条例》和有关信息公开的工作要求，现向社会公布奉新县人社局2020年政府信息公开年度报告。本报告由总体情况、主动公开政府信息情况、收到和处理政府信息公开申请情况、政府信息公开行政复议、行政诉讼情况、政府信息公开工作存在的主要问题及改进措施、需要说明的其他事项等六部分组成。本报告中所列数据的统计期限自2020年1月1日起至2020年12月31日止。如对本报告有任何疑问、意见，可与奉新县人社局秘书股联系。(地址：奉新县潦河西路53号；邮编：330700；电话：0795-4618907 ；电子邮箱：jxfxrsj@163.com 。</w:t>
      </w:r>
    </w:p>
    <w:p>
      <w:pPr>
        <w:spacing w:line="60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一、总体情况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2020年，县人社局在县委、县政府坚强领导下，在县政府办信息中心指导下，按照政府信息公开工作要求，全面加强主动政府信息公开工作，不断提高政府信息公开水平，政府信息公开工作取得了较好的成效。全年共主动公开政府信息98条，其中，政务动态46条、公开指南1条、就业创业14条，社会保险4条、养老服务3条、解读回应3条、重点领域信息公开3条、机构职能1条、法规文件6条、人事信息4条、办事指南10条、财政决算2条、政府信息公开年度报告1条。</w:t>
      </w:r>
    </w:p>
    <w:p>
      <w:pPr>
        <w:spacing w:line="600" w:lineRule="exact"/>
        <w:ind w:firstLine="643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楷体_GB2312" w:eastAsia="楷体_GB2312"/>
          <w:b/>
          <w:sz w:val="32"/>
          <w:szCs w:val="32"/>
        </w:rPr>
        <w:t>（一）加强组织领导，协同推进信息公开工作。</w:t>
      </w:r>
      <w:r>
        <w:rPr>
          <w:rFonts w:hint="eastAsia" w:ascii="仿宋_GB2312" w:eastAsia="仿宋_GB2312"/>
          <w:sz w:val="32"/>
          <w:szCs w:val="32"/>
        </w:rPr>
        <w:t>我局领导对政府信息公开工作高度重视，成立局政务信息公开领导小组，主要领导任组长，分管领导任副组长，全面推进局政务信息公开工作。政府信息公开领导小组下设办公室，并由专人负责政务信息公开工作，负责具体联系政务信息公开工作。</w:t>
      </w:r>
    </w:p>
    <w:p>
      <w:pPr>
        <w:spacing w:line="600" w:lineRule="exact"/>
        <w:ind w:firstLine="643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楷体_GB2312" w:eastAsia="楷体_GB2312"/>
          <w:b/>
          <w:sz w:val="32"/>
          <w:szCs w:val="32"/>
        </w:rPr>
        <w:t>（二）健全政务公开相关制度。</w:t>
      </w:r>
      <w:r>
        <w:rPr>
          <w:rFonts w:hint="eastAsia" w:ascii="仿宋_GB2312" w:eastAsia="仿宋_GB2312"/>
          <w:sz w:val="32"/>
          <w:szCs w:val="32"/>
        </w:rPr>
        <w:t>我局进一步健全本部门政务公开管理体制，指定局机关秘书股为政府信息公开的责任股室，其他股室及下属各单位至少有一名信息公开责任人，负责收集、更新日常政务信息。</w:t>
      </w:r>
    </w:p>
    <w:p>
      <w:pPr>
        <w:spacing w:line="600" w:lineRule="exact"/>
        <w:ind w:firstLine="643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楷体_GB2312" w:eastAsia="楷体_GB2312"/>
          <w:b/>
          <w:sz w:val="32"/>
          <w:szCs w:val="32"/>
        </w:rPr>
        <w:t>（三）规范信息发布基础工作。</w:t>
      </w:r>
      <w:r>
        <w:rPr>
          <w:rFonts w:hint="eastAsia" w:ascii="仿宋_GB2312" w:eastAsia="仿宋_GB2312"/>
          <w:sz w:val="32"/>
          <w:szCs w:val="32"/>
        </w:rPr>
        <w:t>我局制定健全政府信息公开发布审核、运行管理、内容保障等制度，确保政府信息工作正常运转，年内没有发生因信息公开不及时被投诉事件。严格按照《条例》制度贯彻实施信息公开工作。</w:t>
      </w:r>
    </w:p>
    <w:p>
      <w:pPr>
        <w:spacing w:line="600" w:lineRule="exact"/>
        <w:ind w:firstLine="643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楷体_GB2312" w:eastAsia="楷体_GB2312"/>
          <w:b/>
          <w:sz w:val="32"/>
          <w:szCs w:val="32"/>
        </w:rPr>
        <w:t>（四）拓展公开渠道，多形式公开服务群众。</w:t>
      </w:r>
      <w:r>
        <w:rPr>
          <w:rFonts w:hint="eastAsia" w:ascii="仿宋_GB2312" w:eastAsia="仿宋_GB2312"/>
          <w:sz w:val="32"/>
          <w:szCs w:val="32"/>
        </w:rPr>
        <w:t>充分利用政府门户网站主平台作用，及时为奉新县政府网的“政府信息公开人社专栏”更新和补充信息，切实拓宽信息公开渠道，不断增加公开数量，使人社各项工作接受社会监督。</w:t>
      </w:r>
    </w:p>
    <w:p>
      <w:pPr>
        <w:widowControl/>
        <w:shd w:val="clear" w:color="auto" w:fill="FFFFFF"/>
        <w:spacing w:line="520" w:lineRule="exact"/>
        <w:ind w:firstLine="640" w:firstLineChars="200"/>
        <w:rPr>
          <w:rFonts w:ascii="仿宋" w:hAnsi="仿宋" w:eastAsia="仿宋" w:cs="仿宋"/>
          <w:color w:val="333333"/>
          <w:kern w:val="0"/>
          <w:sz w:val="32"/>
          <w:szCs w:val="32"/>
        </w:rPr>
      </w:pPr>
    </w:p>
    <w:p>
      <w:pPr>
        <w:widowControl/>
        <w:shd w:val="clear" w:color="auto" w:fill="FFFFFF"/>
        <w:spacing w:line="520" w:lineRule="exact"/>
        <w:ind w:firstLine="640" w:firstLineChars="200"/>
        <w:rPr>
          <w:rFonts w:ascii="仿宋" w:hAnsi="仿宋" w:eastAsia="仿宋" w:cs="仿宋"/>
          <w:color w:val="333333"/>
          <w:kern w:val="0"/>
          <w:sz w:val="32"/>
          <w:szCs w:val="32"/>
        </w:rPr>
      </w:pPr>
    </w:p>
    <w:p>
      <w:pPr>
        <w:widowControl/>
        <w:shd w:val="clear" w:color="auto" w:fill="FFFFFF"/>
        <w:spacing w:line="520" w:lineRule="exact"/>
        <w:ind w:firstLine="640" w:firstLineChars="200"/>
        <w:rPr>
          <w:rFonts w:ascii="仿宋" w:hAnsi="仿宋" w:eastAsia="仿宋" w:cs="仿宋"/>
          <w:color w:val="333333"/>
          <w:kern w:val="0"/>
          <w:sz w:val="32"/>
          <w:szCs w:val="32"/>
        </w:rPr>
      </w:pPr>
    </w:p>
    <w:p>
      <w:pPr>
        <w:widowControl/>
        <w:shd w:val="clear" w:color="auto" w:fill="FFFFFF"/>
        <w:spacing w:line="520" w:lineRule="exact"/>
        <w:ind w:firstLine="640" w:firstLineChars="200"/>
        <w:rPr>
          <w:rFonts w:ascii="仿宋" w:hAnsi="仿宋" w:eastAsia="仿宋" w:cs="仿宋"/>
          <w:color w:val="333333"/>
          <w:kern w:val="0"/>
          <w:sz w:val="32"/>
          <w:szCs w:val="32"/>
        </w:rPr>
      </w:pPr>
    </w:p>
    <w:p>
      <w:pPr>
        <w:widowControl/>
        <w:shd w:val="clear" w:color="auto" w:fill="FFFFFF"/>
        <w:spacing w:line="520" w:lineRule="exact"/>
        <w:ind w:firstLine="640" w:firstLineChars="200"/>
        <w:rPr>
          <w:rFonts w:ascii="仿宋" w:hAnsi="仿宋" w:eastAsia="仿宋" w:cs="仿宋"/>
          <w:color w:val="333333"/>
          <w:kern w:val="0"/>
          <w:sz w:val="32"/>
          <w:szCs w:val="32"/>
        </w:rPr>
      </w:pPr>
    </w:p>
    <w:p>
      <w:pPr>
        <w:widowControl/>
        <w:shd w:val="clear" w:color="auto" w:fill="FFFFFF"/>
        <w:spacing w:line="520" w:lineRule="exact"/>
        <w:ind w:firstLine="640" w:firstLineChars="200"/>
        <w:rPr>
          <w:rFonts w:ascii="仿宋" w:hAnsi="仿宋" w:eastAsia="仿宋" w:cs="仿宋"/>
          <w:color w:val="333333"/>
          <w:kern w:val="0"/>
          <w:sz w:val="32"/>
          <w:szCs w:val="32"/>
        </w:rPr>
      </w:pPr>
    </w:p>
    <w:p>
      <w:pPr>
        <w:widowControl/>
        <w:shd w:val="clear" w:color="auto" w:fill="FFFFFF"/>
        <w:spacing w:line="520" w:lineRule="exact"/>
        <w:ind w:firstLine="640" w:firstLineChars="200"/>
        <w:rPr>
          <w:rFonts w:ascii="仿宋" w:hAnsi="仿宋" w:eastAsia="仿宋" w:cs="仿宋"/>
          <w:color w:val="333333"/>
          <w:kern w:val="0"/>
          <w:sz w:val="32"/>
          <w:szCs w:val="32"/>
        </w:rPr>
      </w:pPr>
    </w:p>
    <w:p>
      <w:pPr>
        <w:widowControl/>
        <w:shd w:val="clear" w:color="auto" w:fill="FFFFFF"/>
        <w:spacing w:line="520" w:lineRule="exact"/>
        <w:ind w:firstLine="640" w:firstLineChars="200"/>
        <w:rPr>
          <w:rFonts w:ascii="仿宋" w:hAnsi="仿宋" w:eastAsia="仿宋" w:cs="仿宋"/>
          <w:color w:val="333333"/>
          <w:kern w:val="0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二、主动公开政府信息情况</w:t>
      </w:r>
    </w:p>
    <w:tbl>
      <w:tblPr>
        <w:tblStyle w:val="5"/>
        <w:tblW w:w="814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113"/>
        <w:gridCol w:w="1875"/>
        <w:gridCol w:w="6"/>
        <w:gridCol w:w="1265"/>
        <w:gridCol w:w="188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814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2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本年新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制作数量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本年新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公开数量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对外公开总数量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规范性文件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其他对外管理服务事项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314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本年增/减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0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0"/>
                <w:szCs w:val="20"/>
              </w:rPr>
              <w:t>0 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第二十条第（九）项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采购项目数量</w:t>
            </w:r>
          </w:p>
        </w:tc>
        <w:tc>
          <w:tcPr>
            <w:tcW w:w="314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采购总金额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政府集中采购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0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0</w:t>
            </w:r>
          </w:p>
        </w:tc>
      </w:tr>
    </w:tbl>
    <w:p>
      <w:pPr>
        <w:widowControl/>
        <w:shd w:val="clear" w:color="auto" w:fill="FFFFFF"/>
        <w:spacing w:after="240" w:line="360" w:lineRule="exact"/>
        <w:rPr>
          <w:rFonts w:ascii="仿宋_GB2312" w:hAnsi="宋体" w:eastAsia="仿宋_GB2312" w:cs="宋体"/>
          <w:b/>
          <w:bCs/>
          <w:color w:val="333333"/>
          <w:kern w:val="0"/>
          <w:sz w:val="24"/>
          <w:szCs w:val="24"/>
        </w:rPr>
      </w:pPr>
    </w:p>
    <w:p>
      <w:pPr>
        <w:widowControl/>
        <w:shd w:val="clear" w:color="auto" w:fill="FFFFFF"/>
        <w:spacing w:after="240" w:line="360" w:lineRule="exact"/>
        <w:rPr>
          <w:rFonts w:ascii="仿宋_GB2312" w:hAnsi="宋体" w:eastAsia="仿宋_GB2312" w:cs="宋体"/>
          <w:b/>
          <w:bCs/>
          <w:color w:val="333333"/>
          <w:kern w:val="0"/>
          <w:sz w:val="24"/>
          <w:szCs w:val="24"/>
        </w:rPr>
      </w:pPr>
    </w:p>
    <w:p>
      <w:pPr>
        <w:widowControl/>
        <w:shd w:val="clear" w:color="auto" w:fill="FFFFFF"/>
        <w:spacing w:after="240" w:line="360" w:lineRule="exact"/>
        <w:rPr>
          <w:rFonts w:ascii="仿宋_GB2312" w:hAnsi="宋体" w:eastAsia="仿宋_GB2312" w:cs="宋体"/>
          <w:b/>
          <w:bCs/>
          <w:color w:val="333333"/>
          <w:kern w:val="0"/>
          <w:sz w:val="24"/>
          <w:szCs w:val="24"/>
        </w:rPr>
      </w:pPr>
    </w:p>
    <w:p>
      <w:pPr>
        <w:widowControl/>
        <w:shd w:val="clear" w:color="auto" w:fill="FFFFFF"/>
        <w:spacing w:after="240" w:line="360" w:lineRule="exact"/>
        <w:rPr>
          <w:rFonts w:ascii="仿宋_GB2312" w:hAnsi="宋体" w:eastAsia="仿宋_GB2312" w:cs="宋体"/>
          <w:b/>
          <w:bCs/>
          <w:color w:val="333333"/>
          <w:kern w:val="0"/>
          <w:sz w:val="24"/>
          <w:szCs w:val="24"/>
        </w:rPr>
      </w:pPr>
    </w:p>
    <w:p>
      <w:pPr>
        <w:widowControl/>
        <w:shd w:val="clear" w:color="auto" w:fill="FFFFFF"/>
        <w:spacing w:after="240" w:line="360" w:lineRule="exact"/>
        <w:rPr>
          <w:rFonts w:ascii="仿宋_GB2312" w:hAnsi="宋体" w:eastAsia="仿宋_GB2312" w:cs="宋体"/>
          <w:b/>
          <w:bCs/>
          <w:color w:val="333333"/>
          <w:kern w:val="0"/>
          <w:sz w:val="24"/>
          <w:szCs w:val="24"/>
        </w:rPr>
      </w:pPr>
    </w:p>
    <w:p>
      <w:pPr>
        <w:spacing w:line="60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三、收到和处理政府信息公开申请情况</w:t>
      </w:r>
    </w:p>
    <w:tbl>
      <w:tblPr>
        <w:tblStyle w:val="5"/>
        <w:tblW w:w="9071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17"/>
        <w:gridCol w:w="854"/>
        <w:gridCol w:w="2456"/>
        <w:gridCol w:w="567"/>
        <w:gridCol w:w="631"/>
        <w:gridCol w:w="755"/>
        <w:gridCol w:w="813"/>
        <w:gridCol w:w="973"/>
        <w:gridCol w:w="711"/>
        <w:gridCol w:w="69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927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5144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申请人情况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927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3883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9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  <w:jc w:val="center"/>
        </w:trPr>
        <w:tc>
          <w:tcPr>
            <w:tcW w:w="3927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商业企业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科研机构</w:t>
            </w:r>
          </w:p>
        </w:tc>
        <w:tc>
          <w:tcPr>
            <w:tcW w:w="8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97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71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其他</w:t>
            </w: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927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0 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0 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0 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927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0 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0 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0 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331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0 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0 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0 </w:t>
            </w:r>
          </w:p>
        </w:tc>
        <w:tc>
          <w:tcPr>
            <w:tcW w:w="69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331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0 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0 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0 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0 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0 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0 </w:t>
            </w:r>
          </w:p>
        </w:tc>
        <w:tc>
          <w:tcPr>
            <w:tcW w:w="69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0 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0 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0 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0 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0 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0 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0 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0 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0 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0 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0 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0 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0 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0 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0 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0 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0 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0 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0 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0 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0 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0 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0 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0 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0 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0 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0 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0 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0 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0 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0 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0 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0 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0 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0 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0 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0 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0 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0 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0 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0 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0 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0 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0 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0 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331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0 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0 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0 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331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0 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0 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0 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927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0 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0 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0 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0</w:t>
            </w:r>
          </w:p>
        </w:tc>
      </w:tr>
    </w:tbl>
    <w:p>
      <w:pPr>
        <w:widowControl/>
        <w:shd w:val="clear" w:color="auto" w:fill="FFFFFF"/>
        <w:spacing w:line="460" w:lineRule="exact"/>
        <w:jc w:val="left"/>
        <w:rPr>
          <w:rFonts w:ascii="仿宋_GB2312" w:hAnsi="宋体" w:eastAsia="仿宋_GB2312" w:cs="宋体"/>
          <w:color w:val="333333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bCs/>
          <w:color w:val="333333"/>
          <w:kern w:val="0"/>
          <w:sz w:val="32"/>
          <w:szCs w:val="32"/>
        </w:rPr>
        <w:t>四、政府信息公开行政复议、行政诉讼情况</w:t>
      </w:r>
    </w:p>
    <w:p>
      <w:pPr>
        <w:widowControl/>
        <w:shd w:val="clear" w:color="auto" w:fill="FFFFFF"/>
        <w:spacing w:line="460" w:lineRule="exact"/>
        <w:ind w:firstLine="480"/>
        <w:rPr>
          <w:rFonts w:ascii="仿宋_GB2312" w:hAnsi="宋体" w:eastAsia="仿宋_GB2312" w:cs="宋体"/>
          <w:color w:val="333333"/>
          <w:kern w:val="0"/>
          <w:sz w:val="24"/>
          <w:szCs w:val="24"/>
        </w:rPr>
      </w:pPr>
    </w:p>
    <w:tbl>
      <w:tblPr>
        <w:tblStyle w:val="5"/>
        <w:tblW w:w="9071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复议后起诉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0 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0 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0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0 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0 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0 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0 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0</w:t>
            </w:r>
          </w:p>
        </w:tc>
      </w:tr>
    </w:tbl>
    <w:p>
      <w:pPr>
        <w:widowControl/>
        <w:shd w:val="clear" w:color="auto" w:fill="FFFFFF"/>
        <w:spacing w:line="460" w:lineRule="exact"/>
        <w:jc w:val="center"/>
        <w:rPr>
          <w:rFonts w:ascii="仿宋_GB2312" w:hAnsi="宋体" w:eastAsia="仿宋_GB2312" w:cs="宋体"/>
          <w:color w:val="333333"/>
          <w:kern w:val="0"/>
          <w:sz w:val="24"/>
          <w:szCs w:val="24"/>
        </w:rPr>
      </w:pPr>
    </w:p>
    <w:p>
      <w:pPr>
        <w:spacing w:line="60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五、存在的问题及下一步打算</w:t>
      </w:r>
    </w:p>
    <w:p>
      <w:pPr>
        <w:spacing w:line="600" w:lineRule="exact"/>
        <w:ind w:firstLine="643" w:firstLineChars="200"/>
        <w:rPr>
          <w:rFonts w:ascii="楷体_GB2312" w:eastAsia="楷体_GB2312"/>
          <w:b/>
          <w:sz w:val="32"/>
          <w:szCs w:val="32"/>
        </w:rPr>
      </w:pPr>
      <w:r>
        <w:rPr>
          <w:rFonts w:hint="eastAsia" w:ascii="楷体_GB2312" w:eastAsia="楷体_GB2312"/>
          <w:b/>
          <w:sz w:val="32"/>
          <w:szCs w:val="32"/>
        </w:rPr>
        <w:t>（一）存在的问题</w:t>
      </w:r>
    </w:p>
    <w:p>
      <w:pPr>
        <w:spacing w:line="600" w:lineRule="exact"/>
        <w:ind w:firstLine="640" w:firstLineChars="200"/>
        <w:rPr>
          <w:rFonts w:ascii="楷体_GB2312" w:eastAsia="楷体_GB2312"/>
          <w:b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2020年，我局认真贯彻落实《条例》，政府信息公开工作取得了一定成效，增强了我局工作的公开性、透明性。但同时也存在一些问题和不足。一是公开信息还不能完全满足社会公众的需求，特别是政策解读等非公文类信息的公开方面有待进一步加强；二是信息公开的内容有待进一步完善，时效性有待进一步加强，信息公开的广度需要进一步加大，便民性需要进一步提高。</w:t>
      </w:r>
    </w:p>
    <w:p>
      <w:pPr>
        <w:spacing w:line="600" w:lineRule="exact"/>
        <w:ind w:firstLine="643" w:firstLineChars="200"/>
        <w:rPr>
          <w:rFonts w:ascii="楷体_GB2312" w:eastAsia="楷体_GB2312"/>
          <w:b/>
          <w:sz w:val="32"/>
          <w:szCs w:val="32"/>
        </w:rPr>
      </w:pPr>
      <w:r>
        <w:rPr>
          <w:rFonts w:hint="eastAsia" w:ascii="楷体_GB2312" w:eastAsia="楷体_GB2312"/>
          <w:b/>
          <w:sz w:val="32"/>
          <w:szCs w:val="32"/>
        </w:rPr>
        <w:t>（二）下一步打算</w:t>
      </w:r>
    </w:p>
    <w:p>
      <w:pPr>
        <w:spacing w:line="600" w:lineRule="exact"/>
        <w:ind w:firstLine="643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一是加强学习，提升业务水平。</w:t>
      </w:r>
      <w:r>
        <w:rPr>
          <w:rFonts w:hint="eastAsia" w:ascii="仿宋_GB2312" w:eastAsia="仿宋_GB2312"/>
          <w:sz w:val="32"/>
          <w:szCs w:val="32"/>
        </w:rPr>
        <w:t>通过学习培训，提高全局干部职工实施信息公开工作的水平，增强做好此项工作的主动性和紧迫感。</w:t>
      </w:r>
    </w:p>
    <w:p>
      <w:pPr>
        <w:spacing w:line="600" w:lineRule="exact"/>
        <w:ind w:firstLine="643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二是认真梳理，扩大公开内容。</w:t>
      </w:r>
      <w:r>
        <w:rPr>
          <w:rFonts w:hint="eastAsia" w:ascii="仿宋_GB2312" w:eastAsia="仿宋_GB2312"/>
          <w:sz w:val="32"/>
          <w:szCs w:val="32"/>
        </w:rPr>
        <w:t>进一步梳理政府信息，对原有的政府信息公开目录进行补充完善，保证公开信息的完整性和准确性。</w:t>
      </w:r>
    </w:p>
    <w:p>
      <w:pPr>
        <w:spacing w:line="600" w:lineRule="exact"/>
        <w:ind w:firstLine="643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三是健全制度，完善长效机制。</w:t>
      </w:r>
      <w:r>
        <w:rPr>
          <w:rFonts w:hint="eastAsia" w:ascii="仿宋_GB2312" w:eastAsia="仿宋_GB2312"/>
          <w:sz w:val="32"/>
          <w:szCs w:val="32"/>
        </w:rPr>
        <w:t>把政府信息公开工作作为长期的动态工作落到实处，确保公开信息的及时性、准确性和有效性。</w:t>
      </w:r>
    </w:p>
    <w:p>
      <w:pPr>
        <w:spacing w:line="60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六、其他需要报告的事项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无</w:t>
      </w:r>
    </w:p>
    <w:p>
      <w:pPr>
        <w:spacing w:line="460" w:lineRule="exact"/>
        <w:jc w:val="left"/>
        <w:rPr>
          <w:rFonts w:ascii="仿宋_GB2312" w:hAnsi="Times New Roman" w:eastAsia="仿宋_GB2312" w:cs="Times New Roman"/>
          <w:sz w:val="32"/>
          <w:szCs w:val="32"/>
        </w:rPr>
      </w:pPr>
    </w:p>
    <w:p>
      <w:pPr>
        <w:widowControl/>
        <w:shd w:val="clear" w:color="auto" w:fill="FFFFFF"/>
        <w:spacing w:line="580" w:lineRule="exact"/>
        <w:jc w:val="left"/>
        <w:rPr>
          <w:rFonts w:ascii="黑体" w:hAnsi="黑体" w:eastAsia="黑体" w:cs="宋体"/>
          <w:bCs/>
          <w:color w:val="333333"/>
          <w:kern w:val="0"/>
          <w:sz w:val="32"/>
          <w:szCs w:val="32"/>
        </w:rPr>
      </w:pPr>
    </w:p>
    <w:p>
      <w:pPr>
        <w:widowControl/>
        <w:shd w:val="clear" w:color="auto" w:fill="FFFFFF"/>
        <w:spacing w:line="580" w:lineRule="exact"/>
        <w:jc w:val="left"/>
        <w:rPr>
          <w:rFonts w:ascii="黑体" w:hAnsi="黑体" w:eastAsia="黑体" w:cs="宋体"/>
          <w:bCs/>
          <w:color w:val="333333"/>
          <w:kern w:val="0"/>
          <w:sz w:val="32"/>
          <w:szCs w:val="32"/>
        </w:rPr>
      </w:pPr>
    </w:p>
    <w:p>
      <w:pPr>
        <w:widowControl/>
        <w:shd w:val="clear" w:color="auto" w:fill="FFFFFF"/>
        <w:spacing w:line="580" w:lineRule="exact"/>
        <w:jc w:val="left"/>
        <w:rPr>
          <w:rFonts w:ascii="黑体" w:hAnsi="黑体" w:eastAsia="黑体" w:cs="宋体"/>
          <w:bCs/>
          <w:color w:val="333333"/>
          <w:kern w:val="0"/>
          <w:sz w:val="32"/>
          <w:szCs w:val="32"/>
        </w:rPr>
      </w:pPr>
    </w:p>
    <w:p>
      <w:pPr>
        <w:widowControl/>
        <w:shd w:val="clear" w:color="auto" w:fill="FFFFFF"/>
        <w:spacing w:line="580" w:lineRule="exact"/>
        <w:jc w:val="left"/>
        <w:rPr>
          <w:rFonts w:ascii="黑体" w:hAnsi="黑体" w:eastAsia="黑体" w:cs="宋体"/>
          <w:bCs/>
          <w:color w:val="333333"/>
          <w:kern w:val="0"/>
          <w:sz w:val="32"/>
          <w:szCs w:val="32"/>
        </w:rPr>
      </w:pPr>
    </w:p>
    <w:p>
      <w:pPr>
        <w:widowControl/>
        <w:shd w:val="clear" w:color="auto" w:fill="FFFFFF"/>
        <w:spacing w:line="580" w:lineRule="exact"/>
        <w:jc w:val="left"/>
        <w:rPr>
          <w:rFonts w:ascii="黑体" w:hAnsi="黑体" w:eastAsia="黑体" w:cs="宋体"/>
          <w:bCs/>
          <w:color w:val="333333"/>
          <w:kern w:val="0"/>
          <w:sz w:val="32"/>
          <w:szCs w:val="32"/>
        </w:rPr>
      </w:pPr>
    </w:p>
    <w:p>
      <w:pPr>
        <w:widowControl/>
        <w:shd w:val="clear" w:color="auto" w:fill="FFFFFF"/>
        <w:spacing w:line="580" w:lineRule="exact"/>
        <w:jc w:val="left"/>
        <w:rPr>
          <w:rFonts w:ascii="黑体" w:hAnsi="黑体" w:eastAsia="黑体" w:cs="宋体"/>
          <w:bCs/>
          <w:color w:val="333333"/>
          <w:kern w:val="0"/>
          <w:sz w:val="32"/>
          <w:szCs w:val="32"/>
        </w:rPr>
      </w:pPr>
    </w:p>
    <w:p>
      <w:pPr>
        <w:widowControl/>
        <w:shd w:val="clear" w:color="auto" w:fill="FFFFFF"/>
        <w:spacing w:line="580" w:lineRule="exact"/>
        <w:jc w:val="left"/>
        <w:rPr>
          <w:rFonts w:ascii="黑体" w:hAnsi="黑体" w:eastAsia="黑体" w:cs="宋体"/>
          <w:bCs/>
          <w:color w:val="333333"/>
          <w:kern w:val="0"/>
          <w:sz w:val="32"/>
          <w:szCs w:val="32"/>
        </w:rPr>
      </w:pPr>
    </w:p>
    <w:p>
      <w:pPr>
        <w:widowControl/>
        <w:shd w:val="clear" w:color="auto" w:fill="FFFFFF"/>
        <w:spacing w:line="580" w:lineRule="exact"/>
        <w:jc w:val="left"/>
        <w:rPr>
          <w:rFonts w:ascii="黑体" w:hAnsi="黑体" w:eastAsia="黑体" w:cs="宋体"/>
          <w:bCs/>
          <w:color w:val="333333"/>
          <w:kern w:val="0"/>
          <w:sz w:val="32"/>
          <w:szCs w:val="32"/>
        </w:rPr>
      </w:pPr>
    </w:p>
    <w:p>
      <w:pPr>
        <w:widowControl/>
        <w:shd w:val="clear" w:color="auto" w:fill="FFFFFF"/>
        <w:spacing w:line="580" w:lineRule="exact"/>
        <w:jc w:val="left"/>
        <w:rPr>
          <w:rFonts w:ascii="黑体" w:hAnsi="黑体" w:eastAsia="黑体" w:cs="宋体"/>
          <w:bCs/>
          <w:color w:val="333333"/>
          <w:kern w:val="0"/>
          <w:sz w:val="32"/>
          <w:szCs w:val="32"/>
        </w:rPr>
      </w:pPr>
    </w:p>
    <w:p>
      <w:pPr>
        <w:widowControl/>
        <w:shd w:val="clear" w:color="auto" w:fill="FFFFFF"/>
        <w:spacing w:line="580" w:lineRule="exact"/>
        <w:jc w:val="left"/>
        <w:rPr>
          <w:rFonts w:ascii="黑体" w:hAnsi="黑体" w:eastAsia="黑体" w:cs="宋体"/>
          <w:bCs/>
          <w:color w:val="333333"/>
          <w:kern w:val="0"/>
          <w:sz w:val="32"/>
          <w:szCs w:val="32"/>
        </w:rPr>
      </w:pPr>
    </w:p>
    <w:p>
      <w:pPr>
        <w:widowControl/>
        <w:shd w:val="clear" w:color="auto" w:fill="FFFFFF"/>
        <w:spacing w:line="580" w:lineRule="exact"/>
        <w:jc w:val="left"/>
        <w:rPr>
          <w:rFonts w:ascii="黑体" w:hAnsi="黑体" w:eastAsia="黑体" w:cs="宋体"/>
          <w:bCs/>
          <w:color w:val="333333"/>
          <w:kern w:val="0"/>
          <w:sz w:val="32"/>
          <w:szCs w:val="32"/>
        </w:rPr>
      </w:pPr>
    </w:p>
    <w:p>
      <w:pPr>
        <w:spacing w:line="460" w:lineRule="exact"/>
        <w:jc w:val="left"/>
        <w:rPr>
          <w:rFonts w:ascii="仿宋_GB2312" w:hAnsi="Times New Roman" w:eastAsia="仿宋_GB2312" w:cs="Times New Roman"/>
          <w:sz w:val="32"/>
          <w:szCs w:val="32"/>
        </w:rPr>
      </w:pPr>
    </w:p>
    <w:sectPr>
      <w:pgSz w:w="11906" w:h="16838"/>
      <w:pgMar w:top="1440" w:right="1440" w:bottom="144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707694"/>
    <w:rsid w:val="0001393C"/>
    <w:rsid w:val="00034E24"/>
    <w:rsid w:val="00195FA1"/>
    <w:rsid w:val="001F5AD9"/>
    <w:rsid w:val="00200A02"/>
    <w:rsid w:val="00265F7D"/>
    <w:rsid w:val="002C478D"/>
    <w:rsid w:val="003959C9"/>
    <w:rsid w:val="003E6F45"/>
    <w:rsid w:val="00410651"/>
    <w:rsid w:val="00460F29"/>
    <w:rsid w:val="004A5948"/>
    <w:rsid w:val="004E2F23"/>
    <w:rsid w:val="005421BE"/>
    <w:rsid w:val="00583DD1"/>
    <w:rsid w:val="005B28F0"/>
    <w:rsid w:val="005C3BF0"/>
    <w:rsid w:val="005D6A5A"/>
    <w:rsid w:val="006F7522"/>
    <w:rsid w:val="00702DCC"/>
    <w:rsid w:val="0070609B"/>
    <w:rsid w:val="00707694"/>
    <w:rsid w:val="00744303"/>
    <w:rsid w:val="0079143A"/>
    <w:rsid w:val="00796213"/>
    <w:rsid w:val="007A7809"/>
    <w:rsid w:val="0088523C"/>
    <w:rsid w:val="009D4A81"/>
    <w:rsid w:val="00A042F4"/>
    <w:rsid w:val="00A30AF5"/>
    <w:rsid w:val="00A5248D"/>
    <w:rsid w:val="00AB7566"/>
    <w:rsid w:val="00B23C31"/>
    <w:rsid w:val="00B32D0B"/>
    <w:rsid w:val="00BC3136"/>
    <w:rsid w:val="00C51C20"/>
    <w:rsid w:val="00C83515"/>
    <w:rsid w:val="00CD02AA"/>
    <w:rsid w:val="00E6360F"/>
    <w:rsid w:val="00ED4B82"/>
    <w:rsid w:val="00F04FD5"/>
    <w:rsid w:val="00F32DA9"/>
    <w:rsid w:val="068A7BEA"/>
    <w:rsid w:val="06E7296F"/>
    <w:rsid w:val="0755321F"/>
    <w:rsid w:val="0C6A04FF"/>
    <w:rsid w:val="0F956507"/>
    <w:rsid w:val="14C206B4"/>
    <w:rsid w:val="185467B2"/>
    <w:rsid w:val="19456656"/>
    <w:rsid w:val="1A480F86"/>
    <w:rsid w:val="1F6F1F4C"/>
    <w:rsid w:val="21634EE8"/>
    <w:rsid w:val="22296013"/>
    <w:rsid w:val="25343D81"/>
    <w:rsid w:val="25B71FCC"/>
    <w:rsid w:val="2FC6061A"/>
    <w:rsid w:val="345815AC"/>
    <w:rsid w:val="3D035A25"/>
    <w:rsid w:val="3F367408"/>
    <w:rsid w:val="412D3ED8"/>
    <w:rsid w:val="45255B42"/>
    <w:rsid w:val="48034194"/>
    <w:rsid w:val="4C266380"/>
    <w:rsid w:val="522605E2"/>
    <w:rsid w:val="54070D65"/>
    <w:rsid w:val="54CC6B6E"/>
    <w:rsid w:val="56AD4D75"/>
    <w:rsid w:val="57985C55"/>
    <w:rsid w:val="59374647"/>
    <w:rsid w:val="5B4356CA"/>
    <w:rsid w:val="5F0F27E9"/>
    <w:rsid w:val="62D45408"/>
    <w:rsid w:val="6377076F"/>
    <w:rsid w:val="68CB4766"/>
    <w:rsid w:val="6E4B34EF"/>
    <w:rsid w:val="6FEF5F3E"/>
    <w:rsid w:val="7C26677C"/>
    <w:rsid w:val="7E89429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Emphasis"/>
    <w:basedOn w:val="6"/>
    <w:qFormat/>
    <w:uiPriority w:val="20"/>
    <w:rPr>
      <w:i/>
    </w:rPr>
  </w:style>
  <w:style w:type="character" w:styleId="8">
    <w:name w:val="Hyperlink"/>
    <w:basedOn w:val="6"/>
    <w:unhideWhenUsed/>
    <w:uiPriority w:val="99"/>
    <w:rPr>
      <w:color w:val="0000FF"/>
      <w:u w:val="single"/>
    </w:rPr>
  </w:style>
  <w:style w:type="character" w:customStyle="1" w:styleId="9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10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78136D4-4281-4EF3-92CD-0F80185D48F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6</Pages>
  <Words>422</Words>
  <Characters>2408</Characters>
  <Lines>20</Lines>
  <Paragraphs>5</Paragraphs>
  <TotalTime>157</TotalTime>
  <ScaleCrop>false</ScaleCrop>
  <LinksUpToDate>false</LinksUpToDate>
  <CharactersWithSpaces>2825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2020-01-08T03:09:00Z</dcterms:created>
  <dc:creator>AutoBVT</dc:creator>
  <cp:lastModifiedBy>熊婷</cp:lastModifiedBy>
  <cp:lastPrinted>2020-01-17T08:06:00Z</cp:lastPrinted>
  <dcterms:modified xsi:type="dcterms:W3CDTF">2021-04-30T06:50:10Z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D8A0DA4C4545455395B17714158E70BA</vt:lpwstr>
  </property>
</Properties>
</file>