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简体" w:hAnsi="方正小标宋简体" w:eastAsia="方正小标宋简体" w:cs="方正小标宋简体"/>
          <w:b/>
          <w:bCs/>
          <w:sz w:val="52"/>
          <w:szCs w:val="44"/>
        </w:rPr>
      </w:pPr>
      <w:r>
        <w:rPr>
          <w:rFonts w:hint="eastAsia" w:ascii="方正小标宋简体" w:hAnsi="方正小标宋简体" w:eastAsia="方正小标宋简体" w:cs="方正小标宋简体"/>
          <w:b/>
          <w:bCs/>
          <w:sz w:val="52"/>
          <w:szCs w:val="44"/>
        </w:rPr>
        <w:t>澡下镇2020年政府信息公开工作</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ascii="方正小标宋简体" w:hAnsi="方正小标宋简体" w:eastAsia="方正小标宋简体" w:cs="方正小标宋简体"/>
          <w:b/>
          <w:bCs/>
          <w:sz w:val="52"/>
          <w:szCs w:val="44"/>
        </w:rPr>
        <w:t>年度报告</w:t>
      </w:r>
    </w:p>
    <w:p>
      <w:pPr>
        <w:pStyle w:val="2"/>
        <w:keepNext w:val="0"/>
        <w:keepLines w:val="0"/>
        <w:widowControl/>
        <w:suppressLineNumbers w:val="0"/>
        <w:spacing w:before="75" w:beforeAutospacing="0" w:after="75" w:afterAutospacing="0" w:line="600" w:lineRule="atLeast"/>
        <w:ind w:left="0" w:right="0" w:firstLine="645"/>
        <w:jc w:val="both"/>
      </w:pPr>
      <w:r>
        <w:rPr>
          <w:rFonts w:ascii="仿宋_GB2312" w:hAnsi="仿宋_GB2312" w:eastAsia="仿宋_GB2312" w:cs="仿宋_GB2312"/>
          <w:sz w:val="31"/>
          <w:szCs w:val="31"/>
        </w:rPr>
        <w:t>根据《中华人民共和国政府信息公开条例》</w:t>
      </w:r>
      <w:r>
        <w:rPr>
          <w:rFonts w:hint="eastAsia" w:ascii="仿宋_GB2312" w:hAnsi="仿宋_GB2312" w:eastAsia="仿宋_GB2312" w:cs="仿宋_GB2312"/>
          <w:sz w:val="31"/>
          <w:szCs w:val="31"/>
        </w:rPr>
        <w:t>（以下简称《条例》）的规定和《政府信息公开工作年度报告》编制要求，编制本年度报告。报告中所列数据的统计期限自2020年1月1日起至2020年12月31日止。如对本报告有疑问，请与奉新县澡下镇人民政府办公室联系（地址：奉新县澡下镇新安路；邮编：330704；电话：0795-7186618；电子邮箱：fxxzxzzf@163.com）。</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Style w:val="5"/>
          <w:rFonts w:ascii="黑体" w:hAnsi="宋体" w:eastAsia="黑体" w:cs="黑体"/>
          <w:color w:val="333333"/>
          <w:spacing w:val="0"/>
          <w:sz w:val="31"/>
          <w:szCs w:val="31"/>
          <w:bdr w:val="none" w:color="auto" w:sz="0" w:space="0"/>
          <w:shd w:val="clear" w:fill="FFFFFF"/>
        </w:rPr>
        <w:t>一、</w:t>
      </w:r>
      <w:r>
        <w:rPr>
          <w:rStyle w:val="5"/>
          <w:rFonts w:hint="eastAsia" w:ascii="黑体" w:hAnsi="宋体" w:eastAsia="黑体" w:cs="黑体"/>
          <w:color w:val="333333"/>
          <w:spacing w:val="0"/>
          <w:sz w:val="31"/>
          <w:szCs w:val="31"/>
          <w:bdr w:val="none" w:color="auto" w:sz="0" w:space="0"/>
          <w:shd w:val="clear" w:fill="FFFFFF"/>
        </w:rPr>
        <w:t>总体情况</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仿宋_GB2312" w:hAnsi="仿宋_GB2312" w:eastAsia="仿宋_GB2312" w:cs="仿宋_GB2312"/>
          <w:sz w:val="31"/>
          <w:szCs w:val="31"/>
        </w:rPr>
        <w:t>2020年，澡下镇人民政府严格按照《中华人民共和国政府信息公开条例》规定，紧紧围绕各项工作，全面推进政务公开体系建设，切实提高政府信息公开工作的规范化、制度化水平。着重在工作动态、政策文件、财政预决算、为民服务事项等领域进行政务信息公开。现将工作开展情况汇报如下：</w:t>
      </w:r>
    </w:p>
    <w:p>
      <w:pPr>
        <w:pStyle w:val="2"/>
        <w:keepNext w:val="0"/>
        <w:keepLines w:val="0"/>
        <w:widowControl/>
        <w:suppressLineNumbers w:val="0"/>
        <w:spacing w:before="75" w:beforeAutospacing="0" w:after="75" w:afterAutospacing="0" w:line="600" w:lineRule="atLeast"/>
        <w:ind w:left="0" w:right="0" w:firstLine="645"/>
        <w:jc w:val="both"/>
      </w:pPr>
      <w:r>
        <w:rPr>
          <w:rFonts w:ascii="楷体_GB2312" w:hAnsi="楷体_GB2312" w:eastAsia="楷体_GB2312" w:cs="楷体_GB2312"/>
          <w:sz w:val="31"/>
          <w:szCs w:val="31"/>
        </w:rPr>
        <w:t>（一）主动公开情况</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仿宋_GB2312" w:hAnsi="仿宋_GB2312" w:eastAsia="仿宋_GB2312" w:cs="仿宋_GB2312"/>
          <w:sz w:val="31"/>
          <w:szCs w:val="31"/>
        </w:rPr>
        <w:t>澡下镇人民政府以政务公开网站为平台，充分利用政务新媒体平台优势，全方位、多渠道的推进主动公开政府信息工作。不断强化网站安全管理、信息采编审核、网站集约化建设等工作，不断优化、完善政府信息公开目录，为群众提供政府信息的查询等服务。2020年主动公开政府信息共42条。其中政府信息公开年度报告1件，主动公开政策文件类6件，主动公开工作动态类30件，概况信息类1件，公开指南类1件，财政预决算类3件。</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楷体_GB2312" w:hAnsi="楷体_GB2312" w:eastAsia="楷体_GB2312" w:cs="楷体_GB2312"/>
          <w:sz w:val="31"/>
          <w:szCs w:val="31"/>
        </w:rPr>
        <w:t>（二）依申请公开情况</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仿宋_GB2312" w:hAnsi="仿宋_GB2312" w:eastAsia="仿宋_GB2312" w:cs="仿宋_GB2312"/>
          <w:sz w:val="31"/>
          <w:szCs w:val="31"/>
        </w:rPr>
        <w:t>依照《条例》的规定，2020年，我镇开展了依申请公开受理工作，共收到依申请件1件，信息内容为：希望得知由宜春市奉新县澡下镇人民政府制作的澡下镇永久基本农田位置、范围的公告及该公告公布的具体时间和途径。我镇第一时间做好信息公开回复并提供相应佐证材料。</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楷体_GB2312" w:hAnsi="楷体_GB2312" w:eastAsia="楷体_GB2312" w:cs="楷体_GB2312"/>
          <w:sz w:val="31"/>
          <w:szCs w:val="31"/>
        </w:rPr>
        <w:t>（三）严格公开程序。</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仿宋_GB2312" w:hAnsi="仿宋_GB2312" w:eastAsia="仿宋_GB2312" w:cs="仿宋_GB2312"/>
          <w:sz w:val="31"/>
          <w:szCs w:val="31"/>
        </w:rPr>
        <w:t>一是严格按照程序，在规定时间内予以及时、主动公开，保证公正、高效、便民，并及时发布依申请公开信息目录。二是通过“奉新县人民政府网”网站进行公示。三是采用信息公示栏、LED显示屏等方式发布信息为广大群众及时查询、了解惠民政策和时事动态等相关信息提供便利。四是设立为民服务中心和群众意见箱，收集群众意见建议，更好地满足社会公众的信息需求。</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楷体_GB2312" w:hAnsi="楷体_GB2312" w:eastAsia="楷体_GB2312" w:cs="楷体_GB2312"/>
          <w:sz w:val="31"/>
          <w:szCs w:val="31"/>
        </w:rPr>
        <w:t>（四）监督保障</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仿宋_GB2312" w:hAnsi="仿宋_GB2312" w:eastAsia="仿宋_GB2312" w:cs="仿宋_GB2312"/>
          <w:sz w:val="31"/>
          <w:szCs w:val="31"/>
        </w:rPr>
        <w:t>按照上级部门的规范要求，结合我镇实际，对政府信息公开的保密审查、信息送交、统计报送等具体工作进行规范。开展隐私排查工作，对已发布信息逐条排查，进一步加强对公民个人隐私的保护，依法依规维护好人民群众的切身利益，促进政府信息公开工作走上制度化、规范化的轨道。</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jc w:val="both"/>
      </w:pPr>
      <w:r>
        <w:rPr>
          <w:rStyle w:val="5"/>
          <w:rFonts w:hint="eastAsia" w:ascii="宋体" w:hAnsi="宋体" w:eastAsia="宋体" w:cs="宋体"/>
          <w:color w:val="333333"/>
          <w:spacing w:val="0"/>
          <w:sz w:val="31"/>
          <w:szCs w:val="31"/>
          <w:bdr w:val="none" w:color="auto" w:sz="0" w:space="0"/>
          <w:shd w:val="clear" w:fill="FFFFFF"/>
        </w:rPr>
        <w:t>​    ​</w:t>
      </w:r>
      <w:r>
        <w:rPr>
          <w:rStyle w:val="5"/>
          <w:rFonts w:hint="eastAsia" w:ascii="黑体" w:hAnsi="宋体" w:eastAsia="黑体" w:cs="黑体"/>
          <w:color w:val="333333"/>
          <w:spacing w:val="0"/>
          <w:sz w:val="31"/>
          <w:szCs w:val="31"/>
          <w:bdr w:val="none" w:color="auto" w:sz="0" w:space="0"/>
          <w:shd w:val="clear" w:fill="FFFFFF"/>
        </w:rPr>
        <w:t>二、主动公开政府信息情况</w:t>
      </w:r>
    </w:p>
    <w:tbl>
      <w:tblPr>
        <w:tblW w:w="8145" w:type="dxa"/>
        <w:tblInd w:w="0" w:type="dxa"/>
        <w:shd w:val="clear"/>
        <w:tblLayout w:type="autofit"/>
        <w:tblCellMar>
          <w:top w:w="15" w:type="dxa"/>
          <w:left w:w="15" w:type="dxa"/>
          <w:bottom w:w="15" w:type="dxa"/>
          <w:right w:w="15" w:type="dxa"/>
        </w:tblCellMar>
      </w:tblPr>
      <w:tblGrid>
        <w:gridCol w:w="3018"/>
        <w:gridCol w:w="1817"/>
        <w:gridCol w:w="627"/>
        <w:gridCol w:w="1231"/>
        <w:gridCol w:w="1823"/>
      </w:tblGrid>
      <w:tr>
        <w:tblPrEx>
          <w:shd w:val="clear"/>
          <w:tblCellMar>
            <w:top w:w="15" w:type="dxa"/>
            <w:left w:w="15" w:type="dxa"/>
            <w:bottom w:w="15" w:type="dxa"/>
            <w:right w:w="15" w:type="dxa"/>
          </w:tblCellMar>
        </w:tblPrEx>
        <w:trPr>
          <w:trHeight w:val="495" w:hRule="atLeast"/>
        </w:trPr>
        <w:tc>
          <w:tcPr>
            <w:tcW w:w="8145" w:type="dxa"/>
            <w:gridSpan w:val="5"/>
            <w:tcBorders>
              <w:top w:val="single" w:color="000000" w:sz="6" w:space="0"/>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第二十条第（一）项</w:t>
            </w:r>
          </w:p>
        </w:tc>
      </w:tr>
      <w:tr>
        <w:tblPrEx>
          <w:shd w:val="clear"/>
          <w:tblCellMar>
            <w:top w:w="15" w:type="dxa"/>
            <w:left w:w="15" w:type="dxa"/>
            <w:bottom w:w="15" w:type="dxa"/>
            <w:right w:w="15" w:type="dxa"/>
          </w:tblCellMar>
        </w:tblPrEx>
        <w:trPr>
          <w:trHeight w:val="88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信息内容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本年新</w:t>
            </w:r>
            <w:r>
              <w:rPr>
                <w:rFonts w:hint="eastAsia" w:ascii="宋体" w:hAnsi="宋体" w:eastAsia="宋体" w:cs="宋体"/>
                <w:sz w:val="19"/>
                <w:szCs w:val="19"/>
              </w:rPr>
              <w:br w:type="textWrapping"/>
            </w:r>
            <w:r>
              <w:rPr>
                <w:rFonts w:hint="eastAsia" w:ascii="宋体" w:hAnsi="宋体" w:eastAsia="宋体" w:cs="宋体"/>
                <w:sz w:val="19"/>
                <w:szCs w:val="19"/>
              </w:rPr>
              <w:t>制作数量</w:t>
            </w: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本年新</w:t>
            </w:r>
            <w:r>
              <w:rPr>
                <w:rFonts w:hint="eastAsia" w:ascii="宋体" w:hAnsi="宋体" w:eastAsia="宋体" w:cs="宋体"/>
                <w:sz w:val="19"/>
                <w:szCs w:val="19"/>
              </w:rPr>
              <w:br w:type="textWrapping"/>
            </w:r>
            <w:r>
              <w:rPr>
                <w:rFonts w:hint="eastAsia" w:ascii="宋体" w:hAnsi="宋体" w:eastAsia="宋体" w:cs="宋体"/>
                <w:sz w:val="19"/>
                <w:szCs w:val="19"/>
              </w:rPr>
              <w:t>公开数量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对外公开总数量</w:t>
            </w:r>
          </w:p>
        </w:tc>
      </w:tr>
      <w:tr>
        <w:tblPrEx>
          <w:shd w:val="clear"/>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规章</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46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规范性文件</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480" w:hRule="atLeast"/>
        </w:trPr>
        <w:tc>
          <w:tcPr>
            <w:tcW w:w="8145" w:type="dxa"/>
            <w:gridSpan w:val="5"/>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第二十条第（五）项</w:t>
            </w:r>
          </w:p>
        </w:tc>
      </w:tr>
      <w:tr>
        <w:tblPrEx>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信息内容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上一年项目数量</w:t>
            </w: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本年增/减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处理决定数量</w:t>
            </w:r>
          </w:p>
        </w:tc>
      </w:tr>
      <w:tr>
        <w:tblPrEx>
          <w:tblCellMar>
            <w:top w:w="15" w:type="dxa"/>
            <w:left w:w="15" w:type="dxa"/>
            <w:bottom w:w="15" w:type="dxa"/>
            <w:right w:w="15" w:type="dxa"/>
          </w:tblCellMar>
        </w:tblPrEx>
        <w:trPr>
          <w:trHeight w:val="52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行政许可</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其他对外管理服务事项</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tblCellMar>
            <w:top w:w="15" w:type="dxa"/>
            <w:left w:w="15" w:type="dxa"/>
            <w:bottom w:w="15" w:type="dxa"/>
            <w:right w:w="15" w:type="dxa"/>
          </w:tblCellMar>
        </w:tblPrEx>
        <w:trPr>
          <w:trHeight w:val="405" w:hRule="atLeast"/>
        </w:trPr>
        <w:tc>
          <w:tcPr>
            <w:tcW w:w="8145" w:type="dxa"/>
            <w:gridSpan w:val="5"/>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第二十条第（六）项</w:t>
            </w:r>
          </w:p>
        </w:tc>
      </w:tr>
      <w:tr>
        <w:tblPrEx>
          <w:shd w:val="clear"/>
          <w:tblCellMar>
            <w:top w:w="15" w:type="dxa"/>
            <w:left w:w="15" w:type="dxa"/>
            <w:bottom w:w="15" w:type="dxa"/>
            <w:right w:w="15" w:type="dxa"/>
          </w:tblCellMar>
        </w:tblPrEx>
        <w:trPr>
          <w:trHeight w:val="63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信息内容</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上一年项目数量</w:t>
            </w:r>
          </w:p>
        </w:tc>
        <w:tc>
          <w:tcPr>
            <w:tcW w:w="127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本年增/减</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处理决定数量</w:t>
            </w:r>
          </w:p>
        </w:tc>
      </w:tr>
      <w:tr>
        <w:tblPrEx>
          <w:shd w:val="clear"/>
          <w:tblCellMar>
            <w:top w:w="15" w:type="dxa"/>
            <w:left w:w="15" w:type="dxa"/>
            <w:bottom w:w="15" w:type="dxa"/>
            <w:right w:w="15" w:type="dxa"/>
          </w:tblCellMar>
        </w:tblPrEx>
        <w:trPr>
          <w:trHeight w:val="43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行政处罚</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40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行政强制</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260"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1875" w:type="dxa"/>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480" w:hRule="atLeast"/>
        </w:trPr>
        <w:tc>
          <w:tcPr>
            <w:tcW w:w="8145" w:type="dxa"/>
            <w:gridSpan w:val="5"/>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第二十条第（八）项</w:t>
            </w:r>
          </w:p>
        </w:tc>
      </w:tr>
      <w:tr>
        <w:tblPrEx>
          <w:shd w:val="clear"/>
          <w:tblCellMar>
            <w:top w:w="15" w:type="dxa"/>
            <w:left w:w="15" w:type="dxa"/>
            <w:bottom w:w="15" w:type="dxa"/>
            <w:right w:w="15" w:type="dxa"/>
          </w:tblCellMar>
        </w:tblPrEx>
        <w:trPr>
          <w:trHeight w:val="27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信息内容</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上一年项目数量</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本年增/减</w:t>
            </w:r>
          </w:p>
        </w:tc>
      </w:tr>
      <w:tr>
        <w:tblPrEx>
          <w:shd w:val="clear"/>
          <w:tblCellMar>
            <w:top w:w="15" w:type="dxa"/>
            <w:left w:w="15" w:type="dxa"/>
            <w:bottom w:w="15" w:type="dxa"/>
            <w:right w:w="15" w:type="dxa"/>
          </w:tblCellMar>
        </w:tblPrEx>
        <w:trPr>
          <w:trHeight w:val="55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行政事业性收费</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rPr>
          <w:trHeight w:val="480" w:hRule="atLeast"/>
        </w:trPr>
        <w:tc>
          <w:tcPr>
            <w:tcW w:w="8145" w:type="dxa"/>
            <w:gridSpan w:val="5"/>
            <w:tcBorders>
              <w:top w:val="nil"/>
              <w:left w:val="single" w:color="000000" w:sz="6" w:space="0"/>
              <w:bottom w:val="single" w:color="000000" w:sz="6" w:space="0"/>
              <w:right w:val="single" w:color="000000" w:sz="6" w:space="0"/>
            </w:tcBorders>
            <w:shd w:val="clear" w:color="auto" w:fill="C6D9F1"/>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第二十条第（九）项</w:t>
            </w:r>
          </w:p>
        </w:tc>
      </w:tr>
      <w:tr>
        <w:tblPrEx>
          <w:shd w:val="clear"/>
          <w:tblCellMar>
            <w:top w:w="15" w:type="dxa"/>
            <w:left w:w="15" w:type="dxa"/>
            <w:bottom w:w="15" w:type="dxa"/>
            <w:right w:w="15" w:type="dxa"/>
          </w:tblCellMar>
        </w:tblPrEx>
        <w:trPr>
          <w:trHeight w:val="585"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信息内容</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采购项目数量</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采购总金额</w:t>
            </w:r>
          </w:p>
        </w:tc>
      </w:tr>
      <w:tr>
        <w:tblPrEx>
          <w:shd w:val="clear"/>
          <w:tblCellMar>
            <w:top w:w="15" w:type="dxa"/>
            <w:left w:w="15" w:type="dxa"/>
            <w:bottom w:w="15" w:type="dxa"/>
            <w:right w:w="15" w:type="dxa"/>
          </w:tblCellMar>
        </w:tblPrEx>
        <w:trPr>
          <w:trHeight w:val="540" w:hRule="atLeast"/>
        </w:trPr>
        <w:tc>
          <w:tcPr>
            <w:tcW w:w="3120" w:type="dxa"/>
            <w:tcBorders>
              <w:top w:val="nil"/>
              <w:left w:val="single" w:color="000000" w:sz="6" w:space="0"/>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政府集中采购</w:t>
            </w:r>
          </w:p>
        </w:tc>
        <w:tc>
          <w:tcPr>
            <w:tcW w:w="1875"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c>
          <w:tcPr>
            <w:tcW w:w="3150" w:type="dxa"/>
            <w:gridSpan w:val="2"/>
            <w:tcBorders>
              <w:top w:val="nil"/>
              <w:left w:val="nil"/>
              <w:bottom w:val="single" w:color="000000" w:sz="6" w:space="0"/>
              <w:right w:val="single" w:color="000000" w:sz="6" w:space="0"/>
            </w:tcBorders>
            <w:shd w:val="clear"/>
            <w:noWrap/>
            <w:tcMar>
              <w:top w:w="0" w:type="dxa"/>
              <w:left w:w="105" w:type="dxa"/>
              <w:bottom w:w="0" w:type="dxa"/>
              <w:right w:w="105"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9"/>
                <w:szCs w:val="19"/>
              </w:rPr>
              <w:t>0</w:t>
            </w:r>
          </w:p>
        </w:tc>
      </w:tr>
      <w:tr>
        <w:tblPrEx>
          <w:shd w:val="clear"/>
          <w:tblCellMar>
            <w:top w:w="15" w:type="dxa"/>
            <w:left w:w="15" w:type="dxa"/>
            <w:bottom w:w="15" w:type="dxa"/>
            <w:right w:w="15" w:type="dxa"/>
          </w:tblCellMar>
        </w:tblPrEx>
        <w:tc>
          <w:tcPr>
            <w:tcW w:w="3120"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
                <w:szCs w:val="1"/>
              </w:rPr>
              <w:t> </w:t>
            </w:r>
          </w:p>
        </w:tc>
        <w:tc>
          <w:tcPr>
            <w:tcW w:w="187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
                <w:szCs w:val="1"/>
              </w:rPr>
              <w:t> </w:t>
            </w:r>
          </w:p>
        </w:tc>
        <w:tc>
          <w:tcPr>
            <w:tcW w:w="6"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
                <w:szCs w:val="1"/>
              </w:rPr>
              <w:t> </w:t>
            </w:r>
          </w:p>
        </w:tc>
        <w:tc>
          <w:tcPr>
            <w:tcW w:w="1260"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
                <w:szCs w:val="1"/>
              </w:rPr>
              <w:t> </w:t>
            </w:r>
          </w:p>
        </w:tc>
        <w:tc>
          <w:tcPr>
            <w:tcW w:w="1875" w:type="dxa"/>
            <w:tcBorders>
              <w:top w:val="nil"/>
              <w:left w:val="nil"/>
              <w:bottom w:val="nil"/>
              <w:right w:val="nil"/>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555" w:lineRule="atLeast"/>
              <w:ind w:left="0" w:right="0"/>
              <w:jc w:val="both"/>
            </w:pPr>
            <w:r>
              <w:rPr>
                <w:rFonts w:hint="eastAsia" w:ascii="宋体" w:hAnsi="宋体" w:eastAsia="宋体" w:cs="宋体"/>
                <w:sz w:val="1"/>
                <w:szCs w:val="1"/>
              </w:rPr>
              <w:t> </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Style w:val="5"/>
          <w:rFonts w:hint="eastAsia" w:ascii="黑体" w:hAnsi="宋体" w:eastAsia="黑体" w:cs="黑体"/>
          <w:color w:val="333333"/>
          <w:spacing w:val="0"/>
          <w:sz w:val="31"/>
          <w:szCs w:val="31"/>
          <w:bdr w:val="none" w:color="auto" w:sz="0" w:space="0"/>
          <w:shd w:val="clear" w:fill="FFFFFF"/>
        </w:rPr>
        <w:t>三、收到和处理政府信息公开申请情况</w:t>
      </w:r>
    </w:p>
    <w:tbl>
      <w:tblPr>
        <w:tblW w:w="9075" w:type="dxa"/>
        <w:tblInd w:w="0" w:type="dxa"/>
        <w:shd w:val="clear"/>
        <w:tblLayout w:type="autofit"/>
        <w:tblCellMar>
          <w:top w:w="15" w:type="dxa"/>
          <w:left w:w="15" w:type="dxa"/>
          <w:bottom w:w="15" w:type="dxa"/>
          <w:right w:w="15" w:type="dxa"/>
        </w:tblCellMar>
      </w:tblPr>
      <w:tblGrid>
        <w:gridCol w:w="613"/>
        <w:gridCol w:w="851"/>
        <w:gridCol w:w="2378"/>
        <w:gridCol w:w="400"/>
        <w:gridCol w:w="620"/>
        <w:gridCol w:w="735"/>
        <w:gridCol w:w="792"/>
        <w:gridCol w:w="950"/>
        <w:gridCol w:w="706"/>
        <w:gridCol w:w="1030"/>
      </w:tblGrid>
      <w:tr>
        <w:tblPrEx>
          <w:shd w:val="clear"/>
          <w:tblCellMar>
            <w:top w:w="15" w:type="dxa"/>
            <w:left w:w="15" w:type="dxa"/>
            <w:bottom w:w="15" w:type="dxa"/>
            <w:right w:w="15" w:type="dxa"/>
          </w:tblCellMar>
        </w:tblPrEx>
        <w:tc>
          <w:tcPr>
            <w:tcW w:w="3930" w:type="dxa"/>
            <w:gridSpan w:val="3"/>
            <w:vMerge w:val="restart"/>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（本列数据的勾稽关系为：第一项加第二项之和，等于第三项加第四项之和）</w:t>
            </w:r>
          </w:p>
        </w:tc>
        <w:tc>
          <w:tcPr>
            <w:tcW w:w="5145" w:type="dxa"/>
            <w:gridSpan w:val="7"/>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申请人情况</w:t>
            </w:r>
          </w:p>
        </w:tc>
      </w:tr>
      <w:tr>
        <w:tblPrEx>
          <w:shd w:val="clear"/>
        </w:tblPrEx>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7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自然人</w:t>
            </w:r>
          </w:p>
        </w:tc>
        <w:tc>
          <w:tcPr>
            <w:tcW w:w="3885" w:type="dxa"/>
            <w:gridSpan w:val="5"/>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法人或其他组织</w:t>
            </w:r>
          </w:p>
        </w:tc>
        <w:tc>
          <w:tcPr>
            <w:tcW w:w="69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总计</w:t>
            </w:r>
          </w:p>
        </w:tc>
      </w:tr>
      <w:tr>
        <w:tblPrEx>
          <w:shd w:val="clear"/>
          <w:tblCellMar>
            <w:top w:w="15" w:type="dxa"/>
            <w:left w:w="15" w:type="dxa"/>
            <w:bottom w:w="15" w:type="dxa"/>
            <w:right w:w="15" w:type="dxa"/>
          </w:tblCellMar>
        </w:tblPrEx>
        <w:trPr>
          <w:trHeight w:val="1020" w:hRule="atLeast"/>
        </w:trPr>
        <w:tc>
          <w:tcPr>
            <w:tcW w:w="3930" w:type="dxa"/>
            <w:gridSpan w:val="3"/>
            <w:vMerge w:val="continue"/>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7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商业企业</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科研机构</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社会公益组织</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法律服务机构</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其他</w:t>
            </w:r>
          </w:p>
        </w:tc>
        <w:tc>
          <w:tcPr>
            <w:tcW w:w="69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r>
      <w:tr>
        <w:tblPrEx>
          <w:shd w:val="clear"/>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一、本年新收政府信息公开申请数量</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ascii="Calibri" w:hAnsi="Calibri" w:eastAsia="Calibri" w:cs="Calibri"/>
                <w:sz w:val="19"/>
                <w:szCs w:val="19"/>
              </w:rPr>
              <w:t>1</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1</w:t>
            </w:r>
          </w:p>
        </w:tc>
      </w:tr>
      <w:tr>
        <w:tblPrEx>
          <w:shd w:val="clear"/>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二、上年结转政府信息公开申请数量</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restart"/>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三、本年度办理结果</w:t>
            </w:r>
          </w:p>
        </w:tc>
        <w:tc>
          <w:tcPr>
            <w:tcW w:w="331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（一）予以公开</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1</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1</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（二）部分公开（区分处理的，只计这一情形，不计其他情形）</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（三）不予公开</w:t>
            </w: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1.属于国家秘密</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2.其他法律行政法规禁止公开</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3.危及“三安全一稳定”</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4.保护第三方合法权益</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5.属于三类内部事务信息</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6.属于四类过程性信息</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7.属于行政执法案卷</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 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0 </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8.属于行政查询事项</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（四）无法提供</w:t>
            </w: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1.本机关不掌握相关政府信息</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2.没有现成信息需要另行制作</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3.补正后申请内容仍不明确</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（五）不予处理</w:t>
            </w: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1.信访举报投诉类申请</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2.重复申请</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3.要求提供公开出版物</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4.无正当理由大量反复申请</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855"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211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5.要求行政机关确认或重新出具已获取信息</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（六）其他处理</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r>
        <w:tblPrEx>
          <w:shd w:val="clear"/>
          <w:tblCellMar>
            <w:top w:w="15" w:type="dxa"/>
            <w:left w:w="15" w:type="dxa"/>
            <w:bottom w:w="15" w:type="dxa"/>
            <w:right w:w="15" w:type="dxa"/>
          </w:tblCellMar>
        </w:tblPrEx>
        <w:tc>
          <w:tcPr>
            <w:tcW w:w="615"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3315" w:type="dxa"/>
            <w:gridSpan w:val="2"/>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（七）总计</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sz w:val="18"/>
                <w:szCs w:val="18"/>
              </w:rPr>
              <w:t>1​</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1</w:t>
            </w:r>
          </w:p>
        </w:tc>
      </w:tr>
      <w:tr>
        <w:tblPrEx>
          <w:shd w:val="clear"/>
          <w:tblCellMar>
            <w:top w:w="15" w:type="dxa"/>
            <w:left w:w="15" w:type="dxa"/>
            <w:bottom w:w="15" w:type="dxa"/>
            <w:right w:w="15" w:type="dxa"/>
          </w:tblCellMar>
        </w:tblPrEx>
        <w:tc>
          <w:tcPr>
            <w:tcW w:w="3930" w:type="dxa"/>
            <w:gridSpan w:val="3"/>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四、结转下年度继续办理</w:t>
            </w:r>
          </w:p>
        </w:tc>
        <w:tc>
          <w:tcPr>
            <w:tcW w:w="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3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5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81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97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70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9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
        <w:jc w:val="both"/>
        <w:rPr>
          <w:rFonts w:hint="eastAsia" w:ascii="宋体" w:hAnsi="宋体" w:eastAsia="宋体" w:cs="宋体"/>
          <w:color w:val="333333"/>
          <w:spacing w:val="0"/>
          <w:sz w:val="25"/>
          <w:szCs w:val="25"/>
          <w:bdr w:val="none" w:color="auto" w:sz="0" w:space="0"/>
          <w:shd w:val="clear" w:fill="FFFFFF"/>
        </w:rPr>
      </w:pPr>
      <w:r>
        <w:rPr>
          <w:rFonts w:hint="eastAsia" w:ascii="宋体" w:hAnsi="宋体" w:eastAsia="宋体" w:cs="宋体"/>
          <w:color w:val="333333"/>
          <w:spacing w:val="0"/>
          <w:sz w:val="25"/>
          <w:szCs w:val="25"/>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240"/>
        <w:jc w:val="both"/>
      </w:pPr>
      <w:bookmarkStart w:id="0" w:name="_GoBack"/>
      <w:bookmarkEnd w:id="0"/>
      <w:r>
        <w:rPr>
          <w:rStyle w:val="5"/>
          <w:rFonts w:hint="eastAsia" w:ascii="黑体" w:hAnsi="宋体" w:eastAsia="黑体" w:cs="黑体"/>
          <w:color w:val="333333"/>
          <w:spacing w:val="0"/>
          <w:sz w:val="31"/>
          <w:szCs w:val="31"/>
          <w:bdr w:val="none" w:color="auto" w:sz="0" w:space="0"/>
          <w:shd w:val="clear" w:fill="FFFFFF"/>
        </w:rPr>
        <w:t> 四、政府信息公开行政复议、行政诉讼情况</w:t>
      </w:r>
    </w:p>
    <w:tbl>
      <w:tblPr>
        <w:tblW w:w="9075" w:type="dxa"/>
        <w:tblInd w:w="0" w:type="dxa"/>
        <w:shd w:val="clear"/>
        <w:tblLayout w:type="autofit"/>
        <w:tblCellMar>
          <w:top w:w="15" w:type="dxa"/>
          <w:left w:w="15" w:type="dxa"/>
          <w:bottom w:w="15" w:type="dxa"/>
          <w:right w:w="15" w:type="dxa"/>
        </w:tblCellMar>
      </w:tblPr>
      <w:tblGrid>
        <w:gridCol w:w="600"/>
        <w:gridCol w:w="600"/>
        <w:gridCol w:w="600"/>
        <w:gridCol w:w="600"/>
        <w:gridCol w:w="675"/>
        <w:gridCol w:w="555"/>
        <w:gridCol w:w="600"/>
        <w:gridCol w:w="600"/>
        <w:gridCol w:w="600"/>
        <w:gridCol w:w="615"/>
        <w:gridCol w:w="600"/>
        <w:gridCol w:w="600"/>
        <w:gridCol w:w="600"/>
        <w:gridCol w:w="600"/>
        <w:gridCol w:w="630"/>
      </w:tblGrid>
      <w:tr>
        <w:tblPrEx>
          <w:shd w:val="clear"/>
          <w:tblCellMar>
            <w:top w:w="15" w:type="dxa"/>
            <w:left w:w="15" w:type="dxa"/>
            <w:bottom w:w="15" w:type="dxa"/>
            <w:right w:w="15" w:type="dxa"/>
          </w:tblCellMar>
        </w:tblPrEx>
        <w:tc>
          <w:tcPr>
            <w:tcW w:w="3075" w:type="dxa"/>
            <w:gridSpan w:val="5"/>
            <w:tcBorders>
              <w:top w:val="single" w:color="000000" w:sz="6" w:space="0"/>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行政复议</w:t>
            </w:r>
          </w:p>
        </w:tc>
        <w:tc>
          <w:tcPr>
            <w:tcW w:w="6000" w:type="dxa"/>
            <w:gridSpan w:val="10"/>
            <w:tcBorders>
              <w:top w:val="single" w:color="000000" w:sz="6" w:space="0"/>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行政诉讼</w:t>
            </w:r>
          </w:p>
        </w:tc>
      </w:tr>
      <w:tr>
        <w:tblPrEx>
          <w:shd w:val="clear"/>
          <w:tblCellMar>
            <w:top w:w="15" w:type="dxa"/>
            <w:left w:w="15" w:type="dxa"/>
            <w:bottom w:w="15" w:type="dxa"/>
            <w:right w:w="15" w:type="dxa"/>
          </w:tblCellMar>
        </w:tblPrEx>
        <w:tc>
          <w:tcPr>
            <w:tcW w:w="600" w:type="dxa"/>
            <w:vMerge w:val="restart"/>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结果维持</w:t>
            </w:r>
          </w:p>
        </w:tc>
        <w:tc>
          <w:tcPr>
            <w:tcW w:w="60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结果纠正</w:t>
            </w:r>
          </w:p>
        </w:tc>
        <w:tc>
          <w:tcPr>
            <w:tcW w:w="60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其他结果</w:t>
            </w:r>
          </w:p>
        </w:tc>
        <w:tc>
          <w:tcPr>
            <w:tcW w:w="60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尚未审结</w:t>
            </w:r>
          </w:p>
        </w:tc>
        <w:tc>
          <w:tcPr>
            <w:tcW w:w="660" w:type="dxa"/>
            <w:vMerge w:val="restart"/>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总计</w:t>
            </w:r>
          </w:p>
        </w:tc>
        <w:tc>
          <w:tcPr>
            <w:tcW w:w="2970" w:type="dxa"/>
            <w:gridSpan w:val="5"/>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未经复议直接起诉</w:t>
            </w:r>
          </w:p>
        </w:tc>
        <w:tc>
          <w:tcPr>
            <w:tcW w:w="3030" w:type="dxa"/>
            <w:gridSpan w:val="5"/>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复议后起诉</w:t>
            </w:r>
          </w:p>
        </w:tc>
      </w:tr>
      <w:tr>
        <w:tblPrEx>
          <w:shd w:val="clear"/>
          <w:tblCellMar>
            <w:top w:w="15" w:type="dxa"/>
            <w:left w:w="15" w:type="dxa"/>
            <w:bottom w:w="15" w:type="dxa"/>
            <w:right w:w="15" w:type="dxa"/>
          </w:tblCellMar>
        </w:tblPrEx>
        <w:tc>
          <w:tcPr>
            <w:tcW w:w="600" w:type="dxa"/>
            <w:vMerge w:val="continue"/>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60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60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60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660" w:type="dxa"/>
            <w:vMerge w:val="continue"/>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宋体"/>
                <w:sz w:val="24"/>
                <w:szCs w:val="24"/>
              </w:rPr>
            </w:pPr>
          </w:p>
        </w:tc>
        <w:tc>
          <w:tcPr>
            <w:tcW w:w="5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结果维持</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结果纠正</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其他结果</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尚未审结</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总计</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结果维持</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结果纠正</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其他结果</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尚未审结</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总计</w:t>
            </w:r>
          </w:p>
        </w:tc>
      </w:tr>
      <w:tr>
        <w:tblPrEx>
          <w:shd w:val="clear"/>
          <w:tblCellMar>
            <w:top w:w="15" w:type="dxa"/>
            <w:left w:w="15" w:type="dxa"/>
            <w:bottom w:w="15" w:type="dxa"/>
            <w:right w:w="15" w:type="dxa"/>
          </w:tblCellMar>
        </w:tblPrEx>
        <w:tc>
          <w:tcPr>
            <w:tcW w:w="600" w:type="dxa"/>
            <w:tcBorders>
              <w:top w:val="nil"/>
              <w:left w:val="single" w:color="000000" w:sz="6" w:space="0"/>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66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default" w:ascii="Calibri" w:hAnsi="Calibri" w:eastAsia="Calibri" w:cs="Calibri"/>
                <w:sz w:val="19"/>
                <w:szCs w:val="19"/>
              </w:rPr>
              <w:t>0</w:t>
            </w:r>
          </w:p>
        </w:tc>
        <w:tc>
          <w:tcPr>
            <w:tcW w:w="555"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c>
          <w:tcPr>
            <w:tcW w:w="600" w:type="dxa"/>
            <w:tcBorders>
              <w:top w:val="nil"/>
              <w:left w:val="nil"/>
              <w:bottom w:val="single" w:color="000000" w:sz="6" w:space="0"/>
              <w:right w:val="single" w:color="000000" w:sz="6" w:space="0"/>
            </w:tcBorders>
            <w:shd w:val="clear"/>
            <w:tcMar>
              <w:top w:w="0" w:type="dxa"/>
              <w:left w:w="105" w:type="dxa"/>
              <w:bottom w:w="0" w:type="dxa"/>
              <w:right w:w="105" w:type="dxa"/>
            </w:tcMar>
            <w:vAlign w:val="center"/>
          </w:tcPr>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pPr>
            <w:r>
              <w:rPr>
                <w:rFonts w:hint="eastAsia" w:ascii="宋体" w:hAnsi="宋体" w:eastAsia="宋体" w:cs="宋体"/>
                <w:sz w:val="19"/>
                <w:szCs w:val="19"/>
              </w:rPr>
              <w:t>0</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jc w:val="both"/>
      </w:pPr>
      <w:r>
        <w:rPr>
          <w:rFonts w:ascii="微软雅黑" w:hAnsi="微软雅黑" w:eastAsia="微软雅黑" w:cs="微软雅黑"/>
          <w:color w:val="333333"/>
          <w:spacing w:val="0"/>
          <w:sz w:val="31"/>
          <w:szCs w:val="31"/>
          <w:bdr w:val="none" w:color="auto" w:sz="0" w:space="0"/>
          <w:shd w:val="clear" w:fill="FFFFFF"/>
        </w:rPr>
        <w:t>    </w:t>
      </w:r>
      <w:r>
        <w:rPr>
          <w:rStyle w:val="5"/>
          <w:rFonts w:hint="eastAsia" w:ascii="宋体" w:hAnsi="宋体" w:eastAsia="宋体" w:cs="宋体"/>
          <w:color w:val="333333"/>
          <w:spacing w:val="0"/>
          <w:sz w:val="31"/>
          <w:szCs w:val="31"/>
          <w:bdr w:val="none" w:color="auto" w:sz="0" w:space="0"/>
          <w:shd w:val="clear" w:fill="FFFFFF"/>
        </w:rPr>
        <w:t> </w:t>
      </w:r>
      <w:r>
        <w:rPr>
          <w:rStyle w:val="5"/>
          <w:rFonts w:hint="eastAsia" w:ascii="黑体" w:hAnsi="宋体" w:eastAsia="黑体" w:cs="黑体"/>
          <w:color w:val="333333"/>
          <w:spacing w:val="0"/>
          <w:sz w:val="31"/>
          <w:szCs w:val="31"/>
          <w:bdr w:val="none" w:color="auto" w:sz="0" w:space="0"/>
          <w:shd w:val="clear" w:fill="FFFFFF"/>
        </w:rPr>
        <w:t>五、政府信息公开工作存在的主要问题及改进情况</w:t>
      </w:r>
    </w:p>
    <w:p>
      <w:pPr>
        <w:pStyle w:val="2"/>
        <w:keepNext w:val="0"/>
        <w:keepLines w:val="0"/>
        <w:widowControl/>
        <w:suppressLineNumbers w:val="0"/>
        <w:spacing w:before="75" w:beforeAutospacing="0" w:after="75" w:afterAutospacing="0" w:line="600" w:lineRule="atLeast"/>
        <w:ind w:left="0" w:right="0" w:firstLine="645"/>
        <w:jc w:val="both"/>
      </w:pPr>
      <w:r>
        <w:rPr>
          <w:rFonts w:hint="eastAsia" w:ascii="楷体_GB2312" w:hAnsi="楷体_GB2312" w:eastAsia="楷体_GB2312" w:cs="楷体_GB2312"/>
          <w:sz w:val="31"/>
          <w:szCs w:val="31"/>
        </w:rPr>
        <w:t>（一）存在的主要问题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ascii="仿宋" w:hAnsi="仿宋" w:eastAsia="仿宋" w:cs="仿宋"/>
          <w:color w:val="333333"/>
          <w:spacing w:val="0"/>
          <w:sz w:val="31"/>
          <w:szCs w:val="31"/>
          <w:bdr w:val="none" w:color="auto" w:sz="0" w:space="0"/>
          <w:shd w:val="clear" w:fill="FFFFFF"/>
        </w:rPr>
        <w:t>2020年我镇政府信息公开工作虽然取得了一些成效，但仍存在许多不容忽视的问题：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1.信息公开渠道较为传统，缺乏创新；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2.信息公开的主动性不够强，对条例和政府信息公开工作规定的学习、掌握还不够好；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3.信息公开内容不够全面；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4.人才队伍建设不足。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315"/>
        <w:jc w:val="both"/>
      </w:pPr>
      <w:r>
        <w:rPr>
          <w:rFonts w:hint="eastAsia" w:ascii="楷体_GB2312" w:hAnsi="楷体_GB2312" w:eastAsia="楷体_GB2312" w:cs="楷体_GB2312"/>
          <w:sz w:val="31"/>
          <w:szCs w:val="31"/>
          <w:bdr w:val="none" w:color="auto" w:sz="0" w:space="0"/>
          <w:shd w:val="clear" w:fill="FFFFFF"/>
        </w:rPr>
        <w:t>（二）改进情况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1.进一步加强领导，不断加大政务信息公开更新力度。进一步落实工作目标，坚持领导随机督查，力求更新信息做到准确、及时、完整。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2.进一步拓宽信息公开途径。通过微信、微博等多种形式加大惠民政策宣传力度，进一步细化政务信息公开工作流程，拓宽公开渠道，确保操作简便明了，利于查找。</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Fonts w:hint="eastAsia" w:ascii="仿宋" w:hAnsi="仿宋" w:eastAsia="仿宋" w:cs="仿宋"/>
          <w:color w:val="333333"/>
          <w:spacing w:val="0"/>
          <w:sz w:val="31"/>
          <w:szCs w:val="31"/>
          <w:bdr w:val="none" w:color="auto" w:sz="0" w:space="0"/>
          <w:shd w:val="clear" w:fill="FFFFFF"/>
        </w:rPr>
        <w:t>3.加强对政务信息公开工作人员的业务培训。增强工作人员政务公开意识，提高政务信息采集、编辑能力，努力提高政务信息公开水平。</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pPr>
      <w:r>
        <w:rPr>
          <w:rStyle w:val="5"/>
          <w:rFonts w:hint="eastAsia" w:ascii="黑体" w:hAnsi="宋体" w:eastAsia="黑体" w:cs="黑体"/>
          <w:color w:val="333333"/>
          <w:spacing w:val="0"/>
          <w:sz w:val="31"/>
          <w:szCs w:val="31"/>
          <w:bdr w:val="none" w:color="auto" w:sz="0" w:space="0"/>
          <w:shd w:val="clear" w:fill="FFFFFF"/>
        </w:rPr>
        <w:t>六、其他需要报告的事项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55" w:lineRule="atLeast"/>
        <w:ind w:left="0" w:right="0" w:firstLine="615"/>
        <w:jc w:val="both"/>
      </w:pPr>
      <w:r>
        <w:rPr>
          <w:rFonts w:hint="eastAsia" w:ascii="仿宋" w:hAnsi="仿宋" w:eastAsia="仿宋" w:cs="仿宋"/>
          <w:color w:val="333333"/>
          <w:spacing w:val="0"/>
          <w:sz w:val="31"/>
          <w:szCs w:val="31"/>
          <w:bdr w:val="none" w:color="auto" w:sz="0" w:space="0"/>
          <w:shd w:val="clear" w:fill="FFFFFF"/>
        </w:rPr>
        <w:t>无。</w:t>
      </w:r>
      <w:r>
        <w:rPr>
          <w:rFonts w:hint="default" w:ascii="Calibri" w:hAnsi="Calibri" w:eastAsia="Calibri" w:cs="Calibri"/>
          <w:color w:val="333333"/>
          <w:spacing w:val="0"/>
          <w:sz w:val="21"/>
          <w:szCs w:val="21"/>
          <w:bdr w:val="none" w:color="auto" w:sz="0" w:space="0"/>
          <w:shd w:val="clear" w:fill="FFFFFF"/>
        </w:rPr>
        <w:t> </w:t>
      </w:r>
    </w:p>
    <w:p>
      <w:pPr>
        <w:pStyle w:val="2"/>
        <w:keepNext w:val="0"/>
        <w:keepLines w:val="0"/>
        <w:widowControl/>
        <w:suppressLineNumbers w:val="0"/>
        <w:spacing w:before="75" w:beforeAutospacing="0" w:after="75" w:afterAutospacing="0" w:line="555" w:lineRule="atLeast"/>
        <w:ind w:left="0" w:right="0"/>
        <w:jc w:val="both"/>
      </w:pPr>
      <w:r>
        <w:rPr>
          <w:rFonts w:hint="default" w:ascii="Calibri" w:hAnsi="Calibri" w:eastAsia="Calibri" w:cs="Calibri"/>
          <w:sz w:val="21"/>
          <w:szCs w:val="21"/>
        </w:rPr>
        <w:t> </w:t>
      </w:r>
    </w:p>
    <w:p>
      <w:pPr>
        <w:pStyle w:val="2"/>
        <w:keepNext w:val="0"/>
        <w:keepLines w:val="0"/>
        <w:widowControl/>
        <w:suppressLineNumbers w:val="0"/>
        <w:spacing w:before="75" w:beforeAutospacing="0" w:after="75" w:afterAutospacing="0"/>
        <w:ind w:left="0" w:right="0"/>
      </w:pPr>
    </w:p>
    <w:p>
      <w:pPr>
        <w:rPr>
          <w:rFonts w:hint="eastAsia"/>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FB2E41"/>
    <w:rsid w:val="1BFB2E41"/>
    <w:rsid w:val="40CA69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723" w:firstLineChars="200"/>
      <w:jc w:val="both"/>
    </w:pPr>
    <w:rPr>
      <w:rFonts w:ascii="Calibri" w:hAnsi="Calibri" w:eastAsia="仿宋_GB2312" w:cs="Times New Roman"/>
      <w:kern w:val="2"/>
      <w:sz w:val="32"/>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2021-06-04T09:18:00Z</dcterms:created>
  <dc:creator>纸怡</dc:creator>
  <cp:lastModifiedBy>纸怡</cp:lastModifiedBy>
  <dcterms:modified xsi:type="dcterms:W3CDTF">2021-06-04T09:20:04Z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A46905FD3EAD4EA290CD0E325B73442C</vt:lpwstr>
  </property>
</Properties>
</file>