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bookmarkStart w:id="0" w:name="_GoBack"/>
      <w:bookmarkEnd w:id="0"/>
      <w:r>
        <w:rPr>
          <w:rStyle w:val="5"/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奉新县财政局2019年度政府信息公开年度报告 ​​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43"/>
          <w:szCs w:val="43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依据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《中华人民共和国政府信息公开条例》第五十条的规定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特向社会公布2019年度本局政府信息公开年度报告。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   一、总体情况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2019年度，我局坚持“以公开为常态，不公开为例外”原则，全面落实信息公开条例，夯实主动公开工作基础，规范依申请公开办理流程，健全政府信息全链条管理，提升信息公开平台建设，加大监督保障力度，全力推进政府信息公开工作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主动公开全面落实。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及时主动向社会公布财政政策和财政信息，积极稳妥地推进政府信息公开，为提高财政工作透明度，推进依法行政依法理财，扎实实施积极的财政政策，促进经济平稳较快增长发挥了积极作用。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2019年公开政府信息 77条，含规范性文件4件，按期公开年度部门预、决算以及县级预、决算等财经信息，以及及时更新办事服务事项，做好财政扶贫资金、新农村建设资金等公示公告和重大决策意见征集。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依申请公开依法规范。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本年度我局无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</w:rPr>
        <w:t>依申请公开政府信息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政府信息管理标准有序。以编制政府信息主动公开清单为抓手，摸清信息底数，执行规范性文件公开，梳理定位政府信息在公开平台发布栏目，严抓发布前审核、发布后更新及文件有效性管理。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平台建设稳步推进。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按照政府网站建设指引和考核要求，进一步提升信息公开平台发布功能，规范栏目设置，完善与市公开系统对接渠道，升级平台搜索引擎。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45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监督保障逐步强化。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00000"/>
          <w:spacing w:val="0"/>
          <w:sz w:val="31"/>
          <w:szCs w:val="31"/>
        </w:rPr>
        <w:t>以机制建设为保障，严格执行信息发布审核机制、依申请公开机制、公开平台安全预警机制，全面落实监督岗位责任。积极参加县信息公开培训，组织开展局内信息公开培训，共100余人次参加。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240" w:afterAutospacing="0" w:line="46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二、主动公开政府信息情况</w:t>
      </w:r>
    </w:p>
    <w:tbl>
      <w:tblPr>
        <w:tblW w:w="814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120"/>
        <w:gridCol w:w="1875"/>
        <w:gridCol w:w="1275"/>
        <w:gridCol w:w="1875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5" w:hRule="atLeast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第二十条第（一）项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对外公开总数量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6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wordWrap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第二十条第（五）项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第二十条第（六）项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3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第二十条第（八）项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本年增/减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5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第二十条第（九）项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采购总金额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240" w:afterAutospacing="0" w:line="36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Style w:val="5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240" w:afterAutospacing="0" w:line="360" w:lineRule="atLeast"/>
        <w:ind w:left="0" w:right="0" w:firstLine="63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三、收到和处理政府信息公开申请情况</w:t>
      </w:r>
    </w:p>
    <w:tbl>
      <w:tblPr>
        <w:tblW w:w="907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14"/>
        <w:gridCol w:w="855"/>
        <w:gridCol w:w="2454"/>
        <w:gridCol w:w="569"/>
        <w:gridCol w:w="629"/>
        <w:gridCol w:w="749"/>
        <w:gridCol w:w="809"/>
        <w:gridCol w:w="973"/>
        <w:gridCol w:w="719"/>
        <w:gridCol w:w="704"/>
      </w:tblGrid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3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14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申请人情况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7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自然人</w:t>
            </w:r>
          </w:p>
        </w:tc>
        <w:tc>
          <w:tcPr>
            <w:tcW w:w="388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法人或其他组织</w:t>
            </w:r>
          </w:p>
        </w:tc>
        <w:tc>
          <w:tcPr>
            <w:tcW w:w="69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20" w:hRule="atLeast"/>
        </w:trPr>
        <w:tc>
          <w:tcPr>
            <w:tcW w:w="393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7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商业企业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科研机构</w:t>
            </w:r>
          </w:p>
        </w:tc>
        <w:tc>
          <w:tcPr>
            <w:tcW w:w="81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社会公益组织</w:t>
            </w:r>
          </w:p>
        </w:tc>
        <w:tc>
          <w:tcPr>
            <w:tcW w:w="9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法律服务机构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</w:t>
            </w:r>
          </w:p>
        </w:tc>
        <w:tc>
          <w:tcPr>
            <w:tcW w:w="69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三、本年度办理结果</w:t>
            </w: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（一）予以公开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（三）不予公开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1.属于国家秘密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2.其他法律行政法规禁止公开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3.危及“三安全一稳定”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4.保护第三方合法权益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5.属于三类内部事务信息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6.属于四类过程性信息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7.属于行政执法案卷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8.属于行政查询事项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（四）无法提供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1.本机关不掌握相关政府信息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2.没有现成信息需要另行制作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3.补正后申请内容仍不明确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（五）不予处理</w:t>
            </w: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1.信访举报投诉类申请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2.重复申请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3.要求提供公开出版物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4.无正当理由大量反复申请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（六）其他处理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1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331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（七）总计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93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四、结转下年度继续办理</w:t>
            </w:r>
          </w:p>
        </w:tc>
        <w:tc>
          <w:tcPr>
            <w:tcW w:w="57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81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9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</w:t>
            </w:r>
          </w:p>
        </w:tc>
        <w:tc>
          <w:tcPr>
            <w:tcW w:w="6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360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65" w:lineRule="atLeast"/>
        <w:ind w:left="0" w:right="0" w:firstLine="48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 </w:t>
      </w: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四、政府信息公开行政复议、行政诉讼情况</w:t>
      </w:r>
    </w:p>
    <w:p>
      <w:pPr>
        <w:pStyle w:val="2"/>
        <w:keepNext w:val="0"/>
        <w:keepLines w:val="0"/>
        <w:widowControl/>
        <w:suppressLineNumbers w:val="0"/>
        <w:shd w:val="clear" w:fill="FFFFFF"/>
        <w:spacing w:before="75" w:beforeAutospacing="0" w:after="75" w:afterAutospacing="0" w:line="465" w:lineRule="atLeast"/>
        <w:ind w:left="0" w:right="0" w:firstLine="48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333333"/>
          <w:spacing w:val="0"/>
          <w:sz w:val="31"/>
          <w:szCs w:val="31"/>
          <w:shd w:val="clear" w:fill="FFFFFF"/>
        </w:rPr>
        <w:t> </w:t>
      </w:r>
    </w:p>
    <w:tbl>
      <w:tblPr>
        <w:tblW w:w="9075" w:type="dxa"/>
        <w:tblInd w:w="0" w:type="dxa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00"/>
        <w:gridCol w:w="600"/>
        <w:gridCol w:w="600"/>
        <w:gridCol w:w="600"/>
        <w:gridCol w:w="675"/>
        <w:gridCol w:w="555"/>
        <w:gridCol w:w="600"/>
        <w:gridCol w:w="600"/>
        <w:gridCol w:w="600"/>
        <w:gridCol w:w="615"/>
        <w:gridCol w:w="600"/>
        <w:gridCol w:w="600"/>
        <w:gridCol w:w="600"/>
        <w:gridCol w:w="600"/>
        <w:gridCol w:w="630"/>
      </w:tblGrid>
      <w:tr>
        <w:tblPrEx>
          <w:shd w:val="clear"/>
        </w:tblPrEx>
        <w:tc>
          <w:tcPr>
            <w:tcW w:w="3075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行政复议</w:t>
            </w:r>
          </w:p>
        </w:tc>
        <w:tc>
          <w:tcPr>
            <w:tcW w:w="6000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行政诉讼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00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60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297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未经复议直接起诉</w:t>
            </w:r>
          </w:p>
        </w:tc>
        <w:tc>
          <w:tcPr>
            <w:tcW w:w="3030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复议后起诉</w:t>
            </w:r>
          </w:p>
        </w:tc>
      </w:tr>
      <w:tr>
        <w:tc>
          <w:tcPr>
            <w:tcW w:w="600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0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660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结果维持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结果纠正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其他结果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尚未审结</w:t>
            </w:r>
          </w:p>
        </w:tc>
        <w:tc>
          <w:tcPr>
            <w:tcW w:w="60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总计</w:t>
            </w:r>
          </w:p>
        </w:tc>
      </w:tr>
      <w:tr>
        <w:tc>
          <w:tcPr>
            <w:tcW w:w="60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55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0 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  <w:jc w:val="center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19"/>
                <w:szCs w:val="19"/>
              </w:rPr>
              <w:t> 0</w:t>
            </w:r>
          </w:p>
        </w:tc>
        <w:tc>
          <w:tcPr>
            <w:tcW w:w="60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75" w:beforeAutospacing="0" w:after="75" w:afterAutospacing="0" w:line="465" w:lineRule="atLeast"/>
              <w:ind w:left="0" w:right="0"/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aps w:val="0"/>
                <w:color w:val="000000"/>
                <w:spacing w:val="0"/>
                <w:sz w:val="24"/>
                <w:szCs w:val="24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ascii="Calibri" w:hAnsi="Calibri" w:eastAsia="Calibri" w:cs="Calibri"/>
          <w:i w:val="0"/>
          <w:iCs w:val="0"/>
          <w:caps w:val="0"/>
          <w:color w:val="000000"/>
          <w:spacing w:val="0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630" w:firstLineChars="20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五、政府信息公开工作存在的主要问题及改进情况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1"/>
          <w:szCs w:val="21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2019年，我局政府信息公开工作总体水平有显著提高，但公开信息及时性还有待加强，结合工作中存在的问题，我们将从以下方面加以改进。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    ​1、不断提高政府信息公开的全面性和规范性。进一步加大政府信息公开的力度，不断扩大信息公开的范围，拓展信息公开的深度，在《条例》规定的时限内及时公开相关信息，不断提高政府信息公开的全面性、规范性和及时性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    ​2、挖掘公开载体。继续注重政府网站、宣传手册、电视等媒体的作用，同时开展政策下乡等活动，确保群众的知情权。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黑体" w:hAnsi="宋体" w:eastAsia="黑体" w:cs="黑体"/>
          <w:i w:val="0"/>
          <w:iCs w:val="0"/>
          <w:caps w:val="0"/>
          <w:color w:val="000000"/>
          <w:spacing w:val="0"/>
          <w:sz w:val="31"/>
          <w:szCs w:val="31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540" w:lineRule="atLeast"/>
        <w:ind w:left="0" w:right="0" w:firstLine="615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7"/>
          <w:szCs w:val="27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本报告的电子版可在中国奉新政府门户网站（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bdr w:val="none" w:color="auto" w:sz="0" w:space="0"/>
        </w:rPr>
        <w:fldChar w:fldCharType="begin"/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bdr w:val="none" w:color="auto" w:sz="0" w:space="0"/>
        </w:rPr>
        <w:instrText xml:space="preserve"> HYPERLINK "http://www.fengxin.gov.cn/" </w:instrTex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bdr w:val="none" w:color="auto" w:sz="0" w:space="0"/>
        </w:rPr>
        <w:fldChar w:fldCharType="separate"/>
      </w:r>
      <w:r>
        <w:rPr>
          <w:rStyle w:val="6"/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www.fengxin.gov.cn</w:t>
      </w:r>
      <w:r>
        <w:rPr>
          <w:rFonts w:hint="eastAsia" w:ascii="微软雅黑" w:hAnsi="微软雅黑" w:eastAsia="微软雅黑" w:cs="微软雅黑"/>
          <w:i w:val="0"/>
          <w:iCs w:val="0"/>
          <w:caps w:val="0"/>
          <w:spacing w:val="0"/>
          <w:sz w:val="27"/>
          <w:szCs w:val="27"/>
          <w:bdr w:val="none" w:color="auto" w:sz="0" w:space="0"/>
        </w:rPr>
        <w:fldChar w:fldCharType="end"/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</w:rPr>
        <w:t>）下载，如需要了解更多政府信息，请登录查询。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5C6645C"/>
    <w:rsid w:val="25C664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2021-04-27T07:35:00Z</dcterms:created>
  <dc:creator>Administrator</dc:creator>
  <cp:lastModifiedBy>Administrator</cp:lastModifiedBy>
  <dcterms:modified xsi:type="dcterms:W3CDTF">2021-04-27T07:36:10Z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DAB72FCA0C2C409193A5989E3CA7FEEB</vt:lpwstr>
  </property>
</Properties>
</file>