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</w:pBdr>
        <w:spacing w:before="45" w:beforeAutospacing="0"/>
        <w:jc w:val="center"/>
        <w:rPr>
          <w:rFonts w:ascii="微软雅黑" w:hAnsi="微软雅黑" w:eastAsia="微软雅黑" w:cs="微软雅黑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东风场2021年政府信息公开工作年度报告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本年度报告根据《中华人民共和国政府信息公开条例》（以下简称《条例》）的要求编制，由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东风场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编制。报告主要包括：总体情况、主动公开政府信息情况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、依申请公开、政府信息管理、政府信息公开平台建设、监督保障、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存在的主要问题及改进情况及其他需要报告的事项。本年度报告中所列数据统计期限从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2021年1月1日到12月31日止。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2021年以来，我场政府信息公开工作，以习近平新时代中国特色社会主义思想为指导，深入贯彻党的十九大和十九届二中、三中、四中、五中、六中全会精神，认真落实党中央国务院关于全面推进政务公开的决策部署，根据《政府信息公开条例》的要求，秉持“公开为常态、不公开为例外”原则，积极做好主动公开工作，进一步提升政务信息公开的水平。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both"/>
      </w:pPr>
      <w:r>
        <w:rPr>
          <w:rFonts w:ascii="黑体" w:hAnsi="宋体" w:eastAsia="黑体" w:cs="黑体"/>
          <w:sz w:val="31"/>
          <w:szCs w:val="31"/>
        </w:rPr>
        <w:t>一、总体工作情况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both"/>
      </w:pPr>
      <w:r>
        <w:rPr>
          <w:rStyle w:val="5"/>
          <w:rFonts w:hint="eastAsia" w:ascii="楷体" w:hAnsi="楷体" w:eastAsia="楷体" w:cs="楷体"/>
          <w:sz w:val="31"/>
          <w:szCs w:val="31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主动公开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50" w:lineRule="atLeast"/>
        <w:ind w:left="0" w:right="0" w:firstLine="585"/>
        <w:jc w:val="both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按照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“公开是原则，不公开是例外”的要求，在严格进行保密审查的基础上，及时、准确、全面地公开政府信息。截至目前，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2021年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累计主动公开各类信息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55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条，其中主动公开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工作动态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35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条，公开指南1条，概况信息1条，人事信息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条，财政预决算3条，年度报告1条，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工作计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划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条，解读回应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条，权责清单1条，政策文件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条，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政府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工作报告1条。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both"/>
      </w:pPr>
      <w:r>
        <w:rPr>
          <w:rStyle w:val="5"/>
          <w:rFonts w:hint="eastAsia" w:ascii="楷体" w:hAnsi="楷体" w:eastAsia="楷体" w:cs="楷体"/>
          <w:b/>
          <w:bCs/>
          <w:sz w:val="31"/>
          <w:szCs w:val="31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依申请公开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both"/>
        <w:rPr>
          <w:rFonts w:hint="eastAsia"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场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认真贯彻落实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《国务院办公厅关于做好政府信息依申请公开工作的意见》的要求，优化依申请流程，健全办理机制，做到依法有据、严谨规范。2021年，我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受理依申请公开0件。未产生行政复议、行政诉讼。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92" w:beforeAutospacing="0" w:after="0" w:afterAutospacing="0" w:line="450" w:lineRule="atLeast"/>
        <w:ind w:left="630" w:leftChars="0" w:right="0" w:rightChars="0"/>
        <w:jc w:val="both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（三）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政府信息管理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场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认真贯彻落实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《条例》和《通知》及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电子政务中心有关文件和会议精神，并将政务公开工作摆上重要日程为使政务公开工作不流于形式，不走过场，将政务公开工作真正放在“阳光下”推进，不断从信息公开、电子政务建设和便民服务三个方面入手，加大推行政府信息公开的力度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拓宽政府信息公开渠道。我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成立了以主要领导任组长、分管领导任副组长、相关站所负责人为成员的电子政务工作领导小组，小组下指定党政办公室一名工作人员负责日常运维，保证政务公开工作顺利开展。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both"/>
      </w:pPr>
      <w:r>
        <w:rPr>
          <w:rStyle w:val="5"/>
          <w:rFonts w:hint="eastAsia" w:ascii="楷体" w:hAnsi="楷体" w:eastAsia="楷体" w:cs="楷体"/>
          <w:b/>
          <w:bCs/>
          <w:sz w:val="31"/>
          <w:szCs w:val="31"/>
          <w:lang w:eastAsia="zh-CN"/>
        </w:rPr>
        <w:t>（四）</w:t>
      </w:r>
      <w:r>
        <w:rPr>
          <w:rStyle w:val="5"/>
          <w:rFonts w:hint="eastAsia" w:ascii="楷体" w:hAnsi="楷体" w:eastAsia="楷体" w:cs="楷体"/>
          <w:b/>
          <w:bCs/>
          <w:sz w:val="31"/>
          <w:szCs w:val="31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政府信息公开平台建设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both"/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2021年我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场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按要求对网站栏目进行了调整，添加重点领域信息，平台建设更加规范合理；高度重视网站日常运维，今年全年我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场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网站运行正常、未发生任何网络安全事故。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并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通过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场便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民服务中心、各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分场、社区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便民服务大厅、公告栏等方式向群众公开信息，构建了多样化的政务公开平台。通过印发办事手册、办事指南、群众知情单、入户宣传等方式，提高群众知晓率，让居民抬头即可见。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both"/>
        <w:rPr>
          <w:rStyle w:val="5"/>
          <w:rFonts w:hint="eastAsia" w:ascii="楷体" w:hAnsi="楷体" w:eastAsia="楷体" w:cs="楷体"/>
          <w:b/>
          <w:bCs/>
          <w:sz w:val="31"/>
          <w:szCs w:val="31"/>
          <w:lang w:eastAsia="zh-CN"/>
        </w:rPr>
      </w:pPr>
      <w:r>
        <w:rPr>
          <w:rStyle w:val="5"/>
          <w:rFonts w:hint="eastAsia" w:ascii="楷体" w:hAnsi="楷体" w:eastAsia="楷体" w:cs="楷体"/>
          <w:b/>
          <w:bCs/>
          <w:sz w:val="31"/>
          <w:szCs w:val="31"/>
          <w:lang w:val="en-US" w:eastAsia="zh-CN"/>
        </w:rPr>
        <w:t>(五)</w:t>
      </w:r>
      <w:r>
        <w:rPr>
          <w:rStyle w:val="5"/>
          <w:rFonts w:hint="eastAsia" w:ascii="楷体" w:hAnsi="楷体" w:eastAsia="楷体" w:cs="楷体"/>
          <w:b/>
          <w:bCs/>
          <w:sz w:val="31"/>
          <w:szCs w:val="31"/>
          <w:lang w:eastAsia="zh-CN"/>
        </w:rPr>
        <w:t>　监督保障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加强组织领导。根据人事变化，及时调整领导小组相关成员，明确职责，落实专人负责收集、整理、发布、归档等工作，确保重要信息不漏不重。强化社会评议。严格落实重大事项决策公开要求，切实发挥评议工作的正向激励作用。落实责任追究。把政府信息公开作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东风场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整体工作的重要组成部分，纳入日常工作安排部署，2021年度，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东风场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无政府信息公开责任追究情况。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" w:beforeAutospacing="0" w:after="0" w:afterAutospacing="0" w:line="540" w:lineRule="atLeast"/>
        <w:ind w:left="0" w:right="0" w:firstLine="615"/>
        <w:jc w:val="both"/>
      </w:pPr>
      <w:r>
        <w:rPr>
          <w:rFonts w:ascii="黑体" w:hAnsi="宋体" w:eastAsia="黑体" w:cs="黑体"/>
          <w:spacing w:val="0"/>
          <w:sz w:val="31"/>
          <w:szCs w:val="31"/>
          <w:shd w:val="clear" w:fill="FFFFFF"/>
        </w:rPr>
        <w:t>二、主动公开政府信息情况</w:t>
      </w:r>
    </w:p>
    <w:tbl>
      <w:tblPr>
        <w:tblStyle w:val="3"/>
        <w:tblW w:w="8490" w:type="dxa"/>
        <w:tblCellSpacing w:w="0" w:type="dxa"/>
        <w:tblInd w:w="1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5"/>
        <w:gridCol w:w="1815"/>
        <w:gridCol w:w="2190"/>
        <w:gridCol w:w="27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4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信息内容</w:t>
            </w:r>
          </w:p>
        </w:tc>
        <w:tc>
          <w:tcPr>
            <w:tcW w:w="18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本年制发件数</w:t>
            </w:r>
          </w:p>
        </w:tc>
        <w:tc>
          <w:tcPr>
            <w:tcW w:w="2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本年废止件数</w:t>
            </w:r>
          </w:p>
        </w:tc>
        <w:tc>
          <w:tcPr>
            <w:tcW w:w="27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规章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Calibri" w:hAnsi="Calibri" w:eastAsia="Calibri" w:cs="Calibri"/>
                <w:sz w:val="21"/>
                <w:szCs w:val="21"/>
              </w:rPr>
              <w:t>0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规范性文件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49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信息内容</w:t>
            </w:r>
          </w:p>
        </w:tc>
        <w:tc>
          <w:tcPr>
            <w:tcW w:w="67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行政许可</w:t>
            </w:r>
          </w:p>
        </w:tc>
        <w:tc>
          <w:tcPr>
            <w:tcW w:w="67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49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信息内容</w:t>
            </w:r>
          </w:p>
        </w:tc>
        <w:tc>
          <w:tcPr>
            <w:tcW w:w="67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行政处罚</w:t>
            </w:r>
          </w:p>
        </w:tc>
        <w:tc>
          <w:tcPr>
            <w:tcW w:w="67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行政强制</w:t>
            </w:r>
          </w:p>
        </w:tc>
        <w:tc>
          <w:tcPr>
            <w:tcW w:w="67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49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信息内容</w:t>
            </w:r>
          </w:p>
        </w:tc>
        <w:tc>
          <w:tcPr>
            <w:tcW w:w="67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行政事业性收费</w:t>
            </w:r>
          </w:p>
        </w:tc>
        <w:tc>
          <w:tcPr>
            <w:tcW w:w="67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49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信息内容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本年制发件数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本年废止件数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规章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8"/>
                <w:szCs w:val="18"/>
              </w:rPr>
              <w:t>规范性文件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" w:beforeAutospacing="0" w:after="0" w:afterAutospacing="0" w:line="540" w:lineRule="atLeast"/>
        <w:ind w:left="0" w:right="0" w:firstLine="615"/>
        <w:jc w:val="both"/>
      </w:pPr>
      <w:r>
        <w:rPr>
          <w:rFonts w:ascii="黑体" w:hAnsi="宋体" w:eastAsia="黑体" w:cs="黑体"/>
          <w:spacing w:val="0"/>
          <w:sz w:val="31"/>
          <w:szCs w:val="31"/>
          <w:shd w:val="clear" w:fill="FFFFFF"/>
        </w:rPr>
        <w:t>三、收到和处理政府信息公开申请情况</w:t>
      </w:r>
    </w:p>
    <w:tbl>
      <w:tblPr>
        <w:tblStyle w:val="3"/>
        <w:tblW w:w="4998" w:type="pct"/>
        <w:tblCellSpacing w:w="0" w:type="dxa"/>
        <w:tblInd w:w="1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1"/>
        <w:gridCol w:w="1051"/>
        <w:gridCol w:w="1579"/>
        <w:gridCol w:w="694"/>
        <w:gridCol w:w="683"/>
        <w:gridCol w:w="712"/>
        <w:gridCol w:w="832"/>
        <w:gridCol w:w="841"/>
        <w:gridCol w:w="721"/>
        <w:gridCol w:w="7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75" w:hRule="atLeast"/>
          <w:tblCellSpacing w:w="0" w:type="dxa"/>
        </w:trPr>
        <w:tc>
          <w:tcPr>
            <w:tcW w:w="1955" w:type="pct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（本列数据的勾稽关系为：第一项加第二项之和，等于第三项加第四项之和）</w:t>
            </w:r>
          </w:p>
        </w:tc>
        <w:tc>
          <w:tcPr>
            <w:tcW w:w="3044" w:type="pct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955" w:type="pct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06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自然人</w:t>
            </w:r>
          </w:p>
        </w:tc>
        <w:tc>
          <w:tcPr>
            <w:tcW w:w="2218" w:type="pct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法人或其他组织</w:t>
            </w:r>
          </w:p>
        </w:tc>
        <w:tc>
          <w:tcPr>
            <w:tcW w:w="420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tblCellSpacing w:w="0" w:type="dxa"/>
        </w:trPr>
        <w:tc>
          <w:tcPr>
            <w:tcW w:w="1955" w:type="pct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06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商业企业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科研机构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社会公益组织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法律服务机构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其他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195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75" w:hRule="atLeast"/>
          <w:tblCellSpacing w:w="0" w:type="dxa"/>
        </w:trPr>
        <w:tc>
          <w:tcPr>
            <w:tcW w:w="195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75" w:hRule="atLeast"/>
          <w:tblCellSpacing w:w="0" w:type="dxa"/>
        </w:trPr>
        <w:tc>
          <w:tcPr>
            <w:tcW w:w="416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三、本年度办理结果</w:t>
            </w:r>
          </w:p>
        </w:tc>
        <w:tc>
          <w:tcPr>
            <w:tcW w:w="153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ascii="楷体" w:hAnsi="楷体" w:eastAsia="楷体" w:cs="楷体"/>
                <w:color w:val="333333"/>
                <w:sz w:val="19"/>
                <w:szCs w:val="19"/>
              </w:rPr>
              <w:t>（一）予以公开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85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15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（三）不予公开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ascii="仿宋" w:hAnsi="仿宋" w:eastAsia="仿宋" w:cs="仿宋"/>
                <w:color w:val="333333"/>
                <w:sz w:val="19"/>
                <w:szCs w:val="19"/>
              </w:rPr>
              <w:t>1.属于国家秘密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95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</w:rPr>
              <w:t>2.其他法律行政法规禁止公开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</w:rPr>
              <w:t>3.危及“三安全一稳定”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</w:rPr>
              <w:t>4.保护第三方合法权益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</w:rPr>
              <w:t>5.属于三类内部事务信息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</w:rPr>
              <w:t>6.属于四类过程性信息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</w:rPr>
              <w:t>7.属于行政执法案卷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</w:rPr>
              <w:t>8.属于行政查询事项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25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（四）无法提供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1.本机关不掌握相关政府信息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6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2.没有现成信息需要另行制作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15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3.补正后申请内容仍不明确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（五）不予处理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1.信访举报投诉类申请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65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2.重复申请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3.要求提供公开出版物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4.无正当理由大量反复申请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95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35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（六）其他处理</w:t>
            </w: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1.申请人无正当理由逾期不补正、行政机关不再处理其政府信息公开申请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75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5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2.申请人逾期未按收费通知要求缴纳费用、行政机关不再处理其政府信息公开申请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  <w:tblCellSpacing w:w="0" w:type="dxa"/>
        </w:trPr>
        <w:tc>
          <w:tcPr>
            <w:tcW w:w="41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楷体" w:hAnsi="楷体" w:eastAsia="楷体" w:cs="楷体"/>
                <w:color w:val="333333"/>
                <w:sz w:val="19"/>
                <w:szCs w:val="19"/>
              </w:rPr>
              <w:t>（七）总计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5" w:hRule="atLeast"/>
          <w:tblCellSpacing w:w="0" w:type="dxa"/>
        </w:trPr>
        <w:tc>
          <w:tcPr>
            <w:tcW w:w="195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四、结转下年度继续办理</w:t>
            </w:r>
          </w:p>
        </w:tc>
        <w:tc>
          <w:tcPr>
            <w:tcW w:w="4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" w:beforeAutospacing="0" w:after="0" w:afterAutospacing="0" w:line="540" w:lineRule="atLeast"/>
        <w:ind w:right="0"/>
        <w:jc w:val="both"/>
      </w:pPr>
      <w:r>
        <w:rPr>
          <w:rFonts w:ascii="黑体" w:hAnsi="宋体" w:eastAsia="黑体" w:cs="黑体"/>
          <w:spacing w:val="0"/>
          <w:sz w:val="31"/>
          <w:szCs w:val="31"/>
          <w:shd w:val="clear" w:fill="FFFFFF"/>
        </w:rPr>
        <w:t>四、政府信息公开行政复议、行政诉讼情况</w:t>
      </w:r>
    </w:p>
    <w:tbl>
      <w:tblPr>
        <w:tblStyle w:val="3"/>
        <w:tblW w:w="852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blCellSpacing w:w="0" w:type="dxa"/>
        </w:trPr>
        <w:tc>
          <w:tcPr>
            <w:tcW w:w="283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sz w:val="24"/>
                <w:szCs w:val="24"/>
              </w:rPr>
              <w:t>行政复议</w:t>
            </w:r>
          </w:p>
        </w:tc>
        <w:tc>
          <w:tcPr>
            <w:tcW w:w="5685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结果维护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结果纠正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其他结果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尚未审结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总计</w:t>
            </w:r>
          </w:p>
        </w:tc>
        <w:tc>
          <w:tcPr>
            <w:tcW w:w="283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未经复议直接起诉</w:t>
            </w:r>
          </w:p>
        </w:tc>
        <w:tc>
          <w:tcPr>
            <w:tcW w:w="283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结果维护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结果纠正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其他结果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尚未审结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总计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结果维护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结果纠正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其他结果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尚未审结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450" w:lineRule="atLeast"/>
        <w:ind w:left="0" w:right="0"/>
        <w:jc w:val="both"/>
      </w:pPr>
      <w:r>
        <w:rPr>
          <w:rFonts w:hint="eastAsia" w:ascii="黑体" w:hAnsi="宋体" w:eastAsia="黑体" w:cs="黑体"/>
          <w:sz w:val="31"/>
          <w:szCs w:val="31"/>
        </w:rPr>
        <w:t>五、存在的</w:t>
      </w:r>
      <w:r>
        <w:rPr>
          <w:rFonts w:hint="eastAsia" w:ascii="黑体" w:hAnsi="宋体" w:eastAsia="黑体" w:cs="黑体"/>
          <w:sz w:val="31"/>
          <w:szCs w:val="31"/>
          <w:lang w:eastAsia="zh-CN"/>
        </w:rPr>
        <w:t>主要</w:t>
      </w:r>
      <w:r>
        <w:rPr>
          <w:rFonts w:hint="eastAsia" w:ascii="黑体" w:hAnsi="宋体" w:eastAsia="黑体" w:cs="黑体"/>
          <w:sz w:val="31"/>
          <w:szCs w:val="31"/>
        </w:rPr>
        <w:t>问题及</w:t>
      </w:r>
      <w:r>
        <w:rPr>
          <w:rFonts w:hint="eastAsia" w:ascii="黑体" w:hAnsi="宋体" w:eastAsia="黑体" w:cs="黑体"/>
          <w:sz w:val="31"/>
          <w:szCs w:val="31"/>
          <w:lang w:eastAsia="zh-CN"/>
        </w:rPr>
        <w:t>改进情况</w:t>
      </w:r>
      <w:r>
        <w:rPr>
          <w:rFonts w:hint="eastAsia" w:ascii="黑体" w:hAnsi="宋体" w:eastAsia="黑体" w:cs="黑体"/>
          <w:sz w:val="31"/>
          <w:szCs w:val="31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exact"/>
        <w:ind w:left="0" w:right="0" w:firstLine="640" w:firstLineChars="200"/>
        <w:jc w:val="both"/>
      </w:pPr>
      <w:r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2021年，我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场</w:t>
      </w:r>
      <w:r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政务信息公开工作在上级部门的正确领导下，做了大量工作，但还存在标准还不够高，信息分类不够明确、规范，公开形式的便民性还有待加强等问题。按照《条例》的规定和上级工作要求，我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场</w:t>
      </w:r>
      <w:r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下一阶段将主要做好以下几方面工作：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exact"/>
        <w:ind w:left="0" w:right="0" w:firstLine="640" w:firstLineChars="200"/>
        <w:jc w:val="both"/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一是进一步扩展政务信息公开范围。对照《条例》的具体要求，认真清理政府信息公开事项，查漏补缺，确保应公开的政务信息全部公开。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exact"/>
        <w:ind w:left="0" w:right="0" w:firstLine="640" w:firstLineChars="200"/>
        <w:jc w:val="both"/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二是进一步拓宽政务信息公开途径。提高网络、微信等多种方式加大教育惠民政策宣传力度，拓宽公开渠道，利于查找。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exact"/>
        <w:ind w:left="0" w:right="0" w:firstLine="640" w:firstLineChars="200"/>
        <w:jc w:val="both"/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三是进一步强化政务信息公开培训。组织党员干部学习《政府信息公开条例》，深刻领会政府信息公开的重要意义，切实强化技能培训，提高工作人员信息采集、编辑能力，确保政务信息公开及时、有效。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both"/>
      </w:pPr>
      <w:r>
        <w:rPr>
          <w:rFonts w:hint="eastAsia" w:ascii="黑体" w:hAnsi="宋体" w:eastAsia="黑体" w:cs="黑体"/>
          <w:sz w:val="31"/>
          <w:szCs w:val="31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2" w:beforeAutospacing="0" w:after="0" w:afterAutospacing="0" w:line="600" w:lineRule="atLeast"/>
        <w:ind w:left="0" w:right="0" w:firstLine="645"/>
        <w:jc w:val="both"/>
      </w:pPr>
      <w:r>
        <w:rPr>
          <w:rFonts w:hint="eastAsia" w:ascii="宋体" w:hAnsi="宋体" w:eastAsia="宋体" w:cs="宋体"/>
          <w:color w:val="333333"/>
          <w:spacing w:val="0"/>
          <w:sz w:val="31"/>
          <w:szCs w:val="31"/>
          <w:shd w:val="clear" w:fill="FFFFFF"/>
        </w:rPr>
        <w:t>无。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center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center"/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1"/>
          <w:szCs w:val="31"/>
        </w:rPr>
        <w:t>    东风垦殖场</w:t>
      </w:r>
    </w:p>
    <w:p>
      <w:pPr>
        <w:pStyle w:val="2"/>
        <w:keepNext w:val="0"/>
        <w:keepLines w:val="0"/>
        <w:widowControl/>
        <w:suppressLineNumbers w:val="0"/>
        <w:spacing w:before="92" w:beforeAutospacing="0" w:after="0" w:afterAutospacing="0" w:line="600" w:lineRule="atLeast"/>
        <w:ind w:left="0" w:right="0" w:firstLine="645"/>
        <w:jc w:val="center"/>
      </w:pPr>
      <w:r>
        <w:rPr>
          <w:rFonts w:hint="eastAsia" w:ascii="仿宋" w:hAnsi="仿宋" w:eastAsia="仿宋" w:cs="仿宋"/>
          <w:sz w:val="31"/>
          <w:szCs w:val="31"/>
        </w:rPr>
        <w:t>                                     2022年1月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26</w:t>
      </w:r>
      <w:r>
        <w:rPr>
          <w:rFonts w:hint="eastAsia" w:ascii="仿宋" w:hAnsi="仿宋" w:eastAsia="仿宋" w:cs="仿宋"/>
          <w:sz w:val="31"/>
          <w:szCs w:val="3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52A06"/>
    <w:rsid w:val="02FC1413"/>
    <w:rsid w:val="16DC322A"/>
    <w:rsid w:val="1DA90A2F"/>
    <w:rsid w:val="1EE67512"/>
    <w:rsid w:val="1F5D6C30"/>
    <w:rsid w:val="20144886"/>
    <w:rsid w:val="213D1BBA"/>
    <w:rsid w:val="21652A06"/>
    <w:rsid w:val="2A475858"/>
    <w:rsid w:val="2C1A391F"/>
    <w:rsid w:val="377A7E6B"/>
    <w:rsid w:val="41D11AC2"/>
    <w:rsid w:val="523A7AA2"/>
    <w:rsid w:val="55AC288F"/>
    <w:rsid w:val="560264BC"/>
    <w:rsid w:val="635B76A3"/>
    <w:rsid w:val="6AD51D8F"/>
    <w:rsid w:val="6D6C50B9"/>
    <w:rsid w:val="72A54271"/>
    <w:rsid w:val="77625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8">
    <w:name w:val="hover14"/>
    <w:basedOn w:val="4"/>
    <w:qFormat/>
    <w:uiPriority w:val="0"/>
    <w:rPr>
      <w:shd w:val="clear" w:fill="929292"/>
    </w:rPr>
  </w:style>
  <w:style w:type="character" w:customStyle="1" w:styleId="9">
    <w:name w:val="article-icon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2022-01-26T08:54:00Z</dcterms:created>
  <dc:creator>华夏之冰</dc:creator>
  <cp:lastModifiedBy>华夏之冰</cp:lastModifiedBy>
  <dcterms:modified xsi:type="dcterms:W3CDTF">2022-01-27T06:59:18Z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63C9872264C5450C986DE0BA3F8D87A2</vt:lpwstr>
  </property>
</Properties>
</file>