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rPr>
          <w:rFonts w:hint="eastAsia"/>
          <w:lang w:val="en-US" w:eastAsia="zh-CN"/>
        </w:rPr>
        <w:t>奉新县公安局202</w:t>
      </w:r>
      <w:r>
        <w:rPr>
          <w:rFonts w:hint="default"/>
          <w:lang w:val="en-US" w:eastAsia="zh-CN"/>
        </w:rPr>
        <w:t>1</w:t>
      </w:r>
      <w:r>
        <w:rPr>
          <w:rFonts w:hint="eastAsia"/>
          <w:lang w:val="en-US" w:eastAsia="zh-CN"/>
        </w:rPr>
        <w:t>年度政府信息公开工作年度报告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6" w:afterAutospacing="0" w:line="555" w:lineRule="atLeast"/>
        <w:ind w:left="0" w:right="0" w:firstLine="645"/>
        <w:jc w:val="both"/>
      </w:pPr>
      <w:r>
        <w:rPr>
          <w:rFonts w:ascii="微软雅黑" w:hAnsi="微软雅黑" w:eastAsia="微软雅黑" w:cs="微软雅黑"/>
          <w:b w:val="0"/>
          <w:bCs w:val="0"/>
          <w:i w:val="0"/>
          <w:iCs w:val="0"/>
          <w:caps w:val="0"/>
          <w:color w:val="333333"/>
          <w:spacing w:val="0"/>
          <w:sz w:val="25"/>
          <w:szCs w:val="25"/>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15"/>
        <w:jc w:val="both"/>
        <w:textAlignment w:val="auto"/>
      </w:pPr>
      <w:r>
        <w:rPr>
          <w:rFonts w:ascii="仿宋_GB2312" w:hAnsi="仿宋_GB2312" w:eastAsia="仿宋_GB2312" w:cs="仿宋_GB2312"/>
          <w:b w:val="0"/>
          <w:bCs w:val="0"/>
          <w:i w:val="0"/>
          <w:iCs w:val="0"/>
          <w:caps w:val="0"/>
          <w:color w:val="333333"/>
          <w:spacing w:val="0"/>
          <w:sz w:val="31"/>
          <w:szCs w:val="31"/>
        </w:rPr>
        <w:t>202</w:t>
      </w:r>
      <w:r>
        <w:rPr>
          <w:rFonts w:hint="default" w:ascii="仿宋_GB2312" w:hAnsi="仿宋_GB2312" w:eastAsia="仿宋_GB2312" w:cs="仿宋_GB2312"/>
          <w:b w:val="0"/>
          <w:bCs w:val="0"/>
          <w:i w:val="0"/>
          <w:iCs w:val="0"/>
          <w:caps w:val="0"/>
          <w:color w:val="333333"/>
          <w:spacing w:val="0"/>
          <w:sz w:val="31"/>
          <w:szCs w:val="31"/>
          <w:lang w:val="en-US"/>
        </w:rPr>
        <w:t>1</w:t>
      </w:r>
      <w:r>
        <w:rPr>
          <w:rFonts w:hint="eastAsia" w:ascii="仿宋_GB2312" w:hAnsi="仿宋_GB2312" w:eastAsia="仿宋_GB2312" w:cs="仿宋_GB2312"/>
          <w:b w:val="0"/>
          <w:bCs w:val="0"/>
          <w:i w:val="0"/>
          <w:iCs w:val="0"/>
          <w:caps w:val="0"/>
          <w:color w:val="333333"/>
          <w:spacing w:val="0"/>
          <w:sz w:val="31"/>
          <w:szCs w:val="31"/>
        </w:rPr>
        <w:t>年，</w:t>
      </w:r>
      <w:r>
        <w:rPr>
          <w:rFonts w:hint="eastAsia" w:ascii="仿宋_GB2312" w:hAnsi="仿宋_GB2312" w:eastAsia="仿宋_GB2312" w:cs="仿宋_GB2312"/>
          <w:b w:val="0"/>
          <w:bCs w:val="0"/>
          <w:i w:val="0"/>
          <w:iCs w:val="0"/>
          <w:caps w:val="0"/>
          <w:color w:val="333333"/>
          <w:spacing w:val="0"/>
          <w:sz w:val="31"/>
          <w:szCs w:val="31"/>
          <w:lang w:eastAsia="zh-CN"/>
        </w:rPr>
        <w:t>奉新县公安局</w:t>
      </w:r>
      <w:r>
        <w:rPr>
          <w:rFonts w:hint="eastAsia" w:ascii="仿宋_GB2312" w:hAnsi="仿宋_GB2312" w:eastAsia="仿宋_GB2312" w:cs="仿宋_GB2312"/>
          <w:b w:val="0"/>
          <w:bCs w:val="0"/>
          <w:i w:val="0"/>
          <w:iCs w:val="0"/>
          <w:caps w:val="0"/>
          <w:color w:val="333333"/>
          <w:spacing w:val="0"/>
          <w:sz w:val="31"/>
          <w:szCs w:val="31"/>
        </w:rPr>
        <w:t>严格按照《中华人民共和国政府信息公开条例》及省、市、县政府信息公开部署要求，积极推进县委、县政府各项重大决策部署的实施，认真落实县政府信息公开工作要点，紧密结合工作实际，聚焦群众关切，不断规范和加大信息公开力度。报告统计数据时间为202</w:t>
      </w:r>
      <w:r>
        <w:rPr>
          <w:rFonts w:hint="default" w:ascii="仿宋_GB2312" w:hAnsi="仿宋_GB2312" w:eastAsia="仿宋_GB2312" w:cs="仿宋_GB2312"/>
          <w:b w:val="0"/>
          <w:bCs w:val="0"/>
          <w:i w:val="0"/>
          <w:iCs w:val="0"/>
          <w:caps w:val="0"/>
          <w:color w:val="333333"/>
          <w:spacing w:val="0"/>
          <w:sz w:val="31"/>
          <w:szCs w:val="31"/>
          <w:lang w:val="en-US"/>
        </w:rPr>
        <w:t>1</w:t>
      </w:r>
      <w:r>
        <w:rPr>
          <w:rFonts w:hint="eastAsia" w:ascii="仿宋_GB2312" w:hAnsi="仿宋_GB2312" w:eastAsia="仿宋_GB2312" w:cs="仿宋_GB2312"/>
          <w:b w:val="0"/>
          <w:bCs w:val="0"/>
          <w:i w:val="0"/>
          <w:iCs w:val="0"/>
          <w:caps w:val="0"/>
          <w:color w:val="333333"/>
          <w:spacing w:val="0"/>
          <w:sz w:val="31"/>
          <w:szCs w:val="31"/>
        </w:rPr>
        <w:t>年1月1日至202</w:t>
      </w:r>
      <w:r>
        <w:rPr>
          <w:rFonts w:hint="default" w:ascii="仿宋_GB2312" w:hAnsi="仿宋_GB2312" w:eastAsia="仿宋_GB2312" w:cs="仿宋_GB2312"/>
          <w:b w:val="0"/>
          <w:bCs w:val="0"/>
          <w:i w:val="0"/>
          <w:iCs w:val="0"/>
          <w:caps w:val="0"/>
          <w:color w:val="333333"/>
          <w:spacing w:val="0"/>
          <w:sz w:val="31"/>
          <w:szCs w:val="31"/>
          <w:lang w:val="en-US"/>
        </w:rPr>
        <w:t>1</w:t>
      </w:r>
      <w:r>
        <w:rPr>
          <w:rFonts w:hint="eastAsia" w:ascii="仿宋_GB2312" w:hAnsi="仿宋_GB2312" w:eastAsia="仿宋_GB2312" w:cs="仿宋_GB2312"/>
          <w:b w:val="0"/>
          <w:bCs w:val="0"/>
          <w:i w:val="0"/>
          <w:iCs w:val="0"/>
          <w:caps w:val="0"/>
          <w:color w:val="333333"/>
          <w:spacing w:val="0"/>
          <w:sz w:val="31"/>
          <w:szCs w:val="31"/>
        </w:rPr>
        <w:t>年12月31日获取并以一定形式记录和保存的政府信息数据。</w:t>
      </w:r>
      <w:r>
        <w:rPr>
          <w:rFonts w:ascii="??_GB2312" w:hAnsi="??_GB2312" w:eastAsia="??_GB2312" w:cs="??_GB2312"/>
          <w:b w:val="0"/>
          <w:bCs w:val="0"/>
          <w:i w:val="0"/>
          <w:iCs w:val="0"/>
          <w:caps w:val="0"/>
          <w:color w:val="333333"/>
          <w:spacing w:val="0"/>
          <w:sz w:val="30"/>
          <w:szCs w:val="30"/>
          <w:shd w:val="clear" w:fill="FFFFFF"/>
        </w:rPr>
        <w:t> 本年报通报在奉新县公安局政府门户。（http://xxgk.fengxin.gov.cn/xxgk.html）全文公开。如对本报有疑问，请与奉新县公安局办公室联系（地址：奉新县应星南大道239号，电话:0795—4618836）</w:t>
      </w:r>
    </w:p>
    <w:p>
      <w:pPr>
        <w:keepNext w:val="0"/>
        <w:keepLines w:val="0"/>
        <w:pageBreakBefore w:val="0"/>
        <w:kinsoku/>
        <w:overflowPunct/>
        <w:topLinePunct w:val="0"/>
        <w:autoSpaceDE/>
        <w:autoSpaceDN/>
        <w:bidi w:val="0"/>
        <w:adjustRightInd/>
        <w:snapToGrid/>
        <w:spacing w:line="560" w:lineRule="exact"/>
        <w:textAlignment w:val="auto"/>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6" w:afterAutospacing="0" w:line="560" w:lineRule="exact"/>
        <w:ind w:left="0" w:right="0" w:firstLine="645"/>
        <w:jc w:val="both"/>
        <w:textAlignment w:val="auto"/>
        <w:rPr>
          <w:rFonts w:hint="eastAsia" w:ascii="黑体" w:hAnsi="宋体" w:eastAsia="黑体" w:cs="黑体"/>
          <w:b w:val="0"/>
          <w:bCs w:val="0"/>
          <w:i w:val="0"/>
          <w:iCs w:val="0"/>
          <w:caps w:val="0"/>
          <w:color w:val="333333"/>
          <w:spacing w:val="0"/>
          <w:sz w:val="31"/>
          <w:szCs w:val="31"/>
          <w:shd w:val="clear" w:fill="FFFFFF"/>
          <w:lang w:eastAsia="zh-CN"/>
        </w:rPr>
      </w:pPr>
      <w:r>
        <w:rPr>
          <w:rFonts w:hint="eastAsia" w:ascii="黑体" w:hAnsi="宋体" w:eastAsia="黑体" w:cs="黑体"/>
          <w:b w:val="0"/>
          <w:bCs w:val="0"/>
          <w:i w:val="0"/>
          <w:iCs w:val="0"/>
          <w:caps w:val="0"/>
          <w:color w:val="333333"/>
          <w:spacing w:val="0"/>
          <w:sz w:val="31"/>
          <w:szCs w:val="31"/>
          <w:shd w:val="clear" w:fill="FFFFFF"/>
          <w:lang w:eastAsia="zh-CN"/>
        </w:rPr>
        <w:t>一、总体情况</w:t>
      </w:r>
    </w:p>
    <w:p>
      <w:pPr>
        <w:keepNext w:val="0"/>
        <w:keepLines w:val="0"/>
        <w:pageBreakBefore w:val="0"/>
        <w:kinsoku/>
        <w:overflowPunct/>
        <w:topLinePunct w:val="0"/>
        <w:autoSpaceDE/>
        <w:autoSpaceDN/>
        <w:bidi w:val="0"/>
        <w:adjustRightInd/>
        <w:snapToGrid/>
        <w:spacing w:line="560" w:lineRule="exact"/>
        <w:ind w:firstLine="620" w:firstLineChars="200"/>
        <w:textAlignment w:val="auto"/>
        <w:rPr>
          <w:rFonts w:hint="eastAsia" w:ascii="仿宋_GB2312" w:hAnsi="仿宋_GB2312" w:eastAsia="仿宋_GB2312" w:cs="仿宋_GB2312"/>
          <w:b w:val="0"/>
          <w:bCs w:val="0"/>
          <w:i w:val="0"/>
          <w:iCs w:val="0"/>
          <w:caps w:val="0"/>
          <w:color w:val="333333"/>
          <w:spacing w:val="0"/>
          <w:sz w:val="31"/>
          <w:szCs w:val="31"/>
          <w:shd w:val="clear" w:fill="FFFFFF"/>
        </w:rPr>
      </w:pPr>
      <w:r>
        <w:rPr>
          <w:rFonts w:hint="eastAsia" w:ascii="仿宋" w:hAnsi="仿宋" w:eastAsia="仿宋" w:cs="仿宋"/>
          <w:i w:val="0"/>
          <w:iCs w:val="0"/>
          <w:caps w:val="0"/>
          <w:color w:val="333333"/>
          <w:spacing w:val="0"/>
          <w:sz w:val="31"/>
          <w:szCs w:val="31"/>
        </w:rPr>
        <w:t>2021年，奉新县公安局在县委、县政府及市公安局的坚强领导下，深入学习贯彻习近平新时代中国特色社会主义思想和习近平总书记重要训词精神，严格按照《中华人民共和国政府信息公开条例》要求，全面落实总体国家安全观和以人民为中心的发展思想，持续加压奋进、砥砺前行，扎实推进政务公开质效，有力确保全县社会政治治安大局持续平稳。现将我</w:t>
      </w:r>
      <w:r>
        <w:rPr>
          <w:rFonts w:hint="eastAsia" w:ascii="仿宋" w:hAnsi="仿宋" w:eastAsia="仿宋" w:cs="仿宋"/>
          <w:i w:val="0"/>
          <w:iCs w:val="0"/>
          <w:caps w:val="0"/>
          <w:color w:val="333333"/>
          <w:spacing w:val="0"/>
          <w:sz w:val="31"/>
          <w:szCs w:val="31"/>
          <w:lang w:eastAsia="zh-CN"/>
        </w:rPr>
        <w:t>局</w:t>
      </w:r>
      <w:r>
        <w:rPr>
          <w:rFonts w:hint="eastAsia" w:ascii="仿宋" w:hAnsi="仿宋" w:eastAsia="仿宋" w:cs="仿宋"/>
          <w:i w:val="0"/>
          <w:iCs w:val="0"/>
          <w:caps w:val="0"/>
          <w:color w:val="333333"/>
          <w:spacing w:val="0"/>
          <w:sz w:val="31"/>
          <w:szCs w:val="31"/>
        </w:rPr>
        <w:t>2021年度政府信息公开工作报告如下：</w:t>
      </w:r>
      <w:r>
        <w:rPr>
          <w:rFonts w:hint="eastAsia" w:ascii="仿宋_GB2312" w:hAnsi="仿宋_GB2312" w:eastAsia="仿宋_GB2312" w:cs="仿宋_GB2312"/>
          <w:b w:val="0"/>
          <w:bCs w:val="0"/>
          <w:i w:val="0"/>
          <w:iCs w:val="0"/>
          <w:caps w:val="0"/>
          <w:color w:val="333333"/>
          <w:spacing w:val="0"/>
          <w:sz w:val="31"/>
          <w:szCs w:val="31"/>
          <w:shd w:val="clear" w:fill="FFFFFF"/>
        </w:rPr>
        <w:br w:type="textWrapping"/>
      </w:r>
      <w:r>
        <w:rPr>
          <w:rFonts w:hint="eastAsia" w:ascii="仿宋_GB2312" w:hAnsi="仿宋_GB2312" w:eastAsia="仿宋_GB2312" w:cs="仿宋_GB2312"/>
          <w:b w:val="0"/>
          <w:bCs w:val="0"/>
          <w:i w:val="0"/>
          <w:iCs w:val="0"/>
          <w:caps w:val="0"/>
          <w:color w:val="333333"/>
          <w:spacing w:val="0"/>
          <w:sz w:val="31"/>
          <w:szCs w:val="31"/>
          <w:shd w:val="clear" w:fill="FFFFFF"/>
          <w:lang w:val="en-US" w:eastAsia="zh-CN"/>
        </w:rPr>
        <w:t xml:space="preserve"> </w:t>
      </w:r>
      <w:r>
        <w:rPr>
          <w:rFonts w:hint="eastAsia" w:ascii="黑体" w:hAnsi="宋体" w:eastAsia="黑体" w:cs="黑体"/>
          <w:b/>
          <w:bCs/>
          <w:i w:val="0"/>
          <w:iCs w:val="0"/>
          <w:caps w:val="0"/>
          <w:color w:val="333333"/>
          <w:spacing w:val="0"/>
          <w:kern w:val="0"/>
          <w:sz w:val="31"/>
          <w:szCs w:val="31"/>
          <w:shd w:val="clear" w:fill="FFFFFF"/>
          <w:lang w:val="en-US" w:eastAsia="zh-CN" w:bidi="ar"/>
        </w:rPr>
        <w:t xml:space="preserve"> （一）主动公开方面。</w:t>
      </w:r>
      <w:r>
        <w:rPr>
          <w:rFonts w:ascii="仿宋" w:hAnsi="仿宋" w:eastAsia="仿宋" w:cs="仿宋"/>
          <w:i w:val="0"/>
          <w:iCs w:val="0"/>
          <w:caps w:val="0"/>
          <w:color w:val="000000"/>
          <w:spacing w:val="0"/>
          <w:sz w:val="31"/>
          <w:szCs w:val="31"/>
        </w:rPr>
        <w:t>我</w:t>
      </w:r>
      <w:r>
        <w:rPr>
          <w:rFonts w:hint="eastAsia" w:ascii="仿宋" w:hAnsi="仿宋" w:eastAsia="仿宋" w:cs="仿宋"/>
          <w:i w:val="0"/>
          <w:iCs w:val="0"/>
          <w:caps w:val="0"/>
          <w:color w:val="000000"/>
          <w:spacing w:val="0"/>
          <w:sz w:val="31"/>
          <w:szCs w:val="31"/>
          <w:lang w:eastAsia="zh-CN"/>
        </w:rPr>
        <w:t>局</w:t>
      </w:r>
      <w:r>
        <w:rPr>
          <w:rFonts w:ascii="仿宋" w:hAnsi="仿宋" w:eastAsia="仿宋" w:cs="仿宋"/>
          <w:i w:val="0"/>
          <w:iCs w:val="0"/>
          <w:caps w:val="0"/>
          <w:color w:val="000000"/>
          <w:spacing w:val="0"/>
          <w:sz w:val="31"/>
          <w:szCs w:val="31"/>
        </w:rPr>
        <w:t>政务信息公开工作严格按照</w:t>
      </w:r>
      <w:r>
        <w:rPr>
          <w:rFonts w:hint="eastAsia" w:ascii="仿宋" w:hAnsi="仿宋" w:eastAsia="仿宋" w:cs="仿宋"/>
          <w:i w:val="0"/>
          <w:iCs w:val="0"/>
          <w:caps w:val="0"/>
          <w:color w:val="333333"/>
          <w:spacing w:val="0"/>
          <w:sz w:val="31"/>
          <w:szCs w:val="31"/>
        </w:rPr>
        <w:t>“公开为原则，不公开为例外”的总体要求，妥善处理公开与保密的关系，合理界定信息公开范围，做到积极稳妥，及时准确，公开、公正、便民。截止2021年12月31日，我大队主动公开政府信息</w:t>
      </w:r>
      <w:r>
        <w:rPr>
          <w:rFonts w:hint="eastAsia" w:ascii="仿宋" w:hAnsi="仿宋" w:eastAsia="仿宋" w:cs="仿宋"/>
          <w:i w:val="0"/>
          <w:iCs w:val="0"/>
          <w:caps w:val="0"/>
          <w:color w:val="333333"/>
          <w:spacing w:val="0"/>
          <w:sz w:val="31"/>
          <w:szCs w:val="31"/>
          <w:lang w:val="en-US" w:eastAsia="zh-CN"/>
        </w:rPr>
        <w:t>7</w:t>
      </w:r>
      <w:r>
        <w:rPr>
          <w:rFonts w:hint="eastAsia" w:ascii="仿宋" w:hAnsi="仿宋" w:eastAsia="仿宋" w:cs="仿宋"/>
          <w:i w:val="0"/>
          <w:iCs w:val="0"/>
          <w:caps w:val="0"/>
          <w:color w:val="333333"/>
          <w:spacing w:val="0"/>
          <w:sz w:val="31"/>
          <w:szCs w:val="31"/>
        </w:rPr>
        <w:t>0条。</w:t>
      </w:r>
      <w:r>
        <w:rPr>
          <w:rFonts w:hint="eastAsia" w:ascii="仿宋" w:hAnsi="仿宋" w:eastAsia="仿宋" w:cs="仿宋"/>
          <w:i w:val="0"/>
          <w:iCs w:val="0"/>
          <w:caps w:val="0"/>
          <w:color w:val="000000"/>
          <w:spacing w:val="0"/>
          <w:sz w:val="31"/>
          <w:szCs w:val="31"/>
          <w:shd w:val="clear" w:fill="FFFFFF"/>
        </w:rPr>
        <w:t>其中信息公开年度报告</w:t>
      </w:r>
      <w:r>
        <w:rPr>
          <w:rFonts w:hint="eastAsia" w:ascii="仿宋" w:hAnsi="仿宋" w:eastAsia="仿宋" w:cs="仿宋"/>
          <w:i w:val="0"/>
          <w:iCs w:val="0"/>
          <w:caps w:val="0"/>
          <w:color w:val="333333"/>
          <w:spacing w:val="0"/>
          <w:sz w:val="31"/>
          <w:szCs w:val="31"/>
        </w:rPr>
        <w:t>1条；工作动态3</w:t>
      </w:r>
      <w:r>
        <w:rPr>
          <w:rFonts w:hint="eastAsia" w:ascii="仿宋" w:hAnsi="仿宋" w:eastAsia="仿宋" w:cs="仿宋"/>
          <w:i w:val="0"/>
          <w:iCs w:val="0"/>
          <w:caps w:val="0"/>
          <w:color w:val="333333"/>
          <w:spacing w:val="0"/>
          <w:sz w:val="31"/>
          <w:szCs w:val="31"/>
          <w:lang w:val="en-US" w:eastAsia="zh-CN"/>
        </w:rPr>
        <w:t>6</w:t>
      </w:r>
      <w:r>
        <w:rPr>
          <w:rFonts w:hint="eastAsia" w:ascii="仿宋" w:hAnsi="仿宋" w:eastAsia="仿宋" w:cs="仿宋"/>
          <w:i w:val="0"/>
          <w:iCs w:val="0"/>
          <w:caps w:val="0"/>
          <w:color w:val="333333"/>
          <w:spacing w:val="0"/>
          <w:sz w:val="31"/>
          <w:szCs w:val="31"/>
        </w:rPr>
        <w:t>条；“财经信息”栏目信息2条；</w:t>
      </w:r>
      <w:r>
        <w:rPr>
          <w:rFonts w:hint="eastAsia" w:ascii="仿宋" w:hAnsi="仿宋" w:eastAsia="仿宋" w:cs="仿宋"/>
          <w:i w:val="0"/>
          <w:iCs w:val="0"/>
          <w:caps w:val="0"/>
          <w:color w:val="333333"/>
          <w:spacing w:val="0"/>
          <w:sz w:val="31"/>
          <w:szCs w:val="31"/>
          <w:lang w:eastAsia="zh-CN"/>
        </w:rPr>
        <w:t>治安管理栏目信息</w:t>
      </w:r>
      <w:r>
        <w:rPr>
          <w:rFonts w:hint="eastAsia" w:ascii="仿宋" w:hAnsi="仿宋" w:eastAsia="仿宋" w:cs="仿宋"/>
          <w:i w:val="0"/>
          <w:iCs w:val="0"/>
          <w:caps w:val="0"/>
          <w:color w:val="333333"/>
          <w:spacing w:val="0"/>
          <w:sz w:val="31"/>
          <w:szCs w:val="31"/>
          <w:lang w:val="en-US" w:eastAsia="zh-CN"/>
        </w:rPr>
        <w:t>7条；</w:t>
      </w:r>
      <w:r>
        <w:rPr>
          <w:rFonts w:hint="eastAsia" w:ascii="仿宋" w:hAnsi="仿宋" w:eastAsia="仿宋" w:cs="仿宋"/>
          <w:i w:val="0"/>
          <w:iCs w:val="0"/>
          <w:caps w:val="0"/>
          <w:color w:val="333333"/>
          <w:spacing w:val="0"/>
          <w:sz w:val="31"/>
          <w:szCs w:val="31"/>
          <w:lang w:eastAsia="zh-CN"/>
        </w:rPr>
        <w:t>户政服务</w:t>
      </w:r>
      <w:r>
        <w:rPr>
          <w:rFonts w:hint="eastAsia" w:ascii="仿宋" w:hAnsi="仿宋" w:eastAsia="仿宋" w:cs="仿宋"/>
          <w:i w:val="0"/>
          <w:iCs w:val="0"/>
          <w:caps w:val="0"/>
          <w:color w:val="333333"/>
          <w:spacing w:val="0"/>
          <w:sz w:val="31"/>
          <w:szCs w:val="31"/>
        </w:rPr>
        <w:t>栏目信息</w:t>
      </w:r>
      <w:r>
        <w:rPr>
          <w:rFonts w:hint="eastAsia" w:ascii="仿宋" w:hAnsi="仿宋" w:eastAsia="仿宋" w:cs="仿宋"/>
          <w:i w:val="0"/>
          <w:iCs w:val="0"/>
          <w:caps w:val="0"/>
          <w:color w:val="333333"/>
          <w:spacing w:val="0"/>
          <w:sz w:val="31"/>
          <w:szCs w:val="31"/>
          <w:lang w:val="en-US" w:eastAsia="zh-CN"/>
        </w:rPr>
        <w:t>7</w:t>
      </w:r>
      <w:r>
        <w:rPr>
          <w:rFonts w:hint="eastAsia" w:ascii="仿宋" w:hAnsi="仿宋" w:eastAsia="仿宋" w:cs="仿宋"/>
          <w:i w:val="0"/>
          <w:iCs w:val="0"/>
          <w:caps w:val="0"/>
          <w:color w:val="333333"/>
          <w:spacing w:val="0"/>
          <w:sz w:val="31"/>
          <w:szCs w:val="31"/>
        </w:rPr>
        <w:t>条。二是利用新媒体。</w:t>
      </w:r>
      <w:r>
        <w:rPr>
          <w:rFonts w:hint="eastAsia" w:ascii="仿宋_GB2312" w:hAnsi="仿宋_GB2312" w:eastAsia="仿宋_GB2312" w:cs="仿宋_GB2312"/>
          <w:b w:val="0"/>
          <w:bCs w:val="0"/>
          <w:i w:val="0"/>
          <w:iCs w:val="0"/>
          <w:caps w:val="0"/>
          <w:color w:val="333333"/>
          <w:spacing w:val="0"/>
          <w:sz w:val="31"/>
          <w:szCs w:val="31"/>
          <w:shd w:val="clear" w:fill="FFFFFF"/>
        </w:rPr>
        <w:t>利用</w:t>
      </w:r>
      <w:r>
        <w:rPr>
          <w:rFonts w:hint="default" w:ascii="helvetica" w:hAnsi="helvetica" w:eastAsia="helvetica" w:cs="helvetica"/>
          <w:b w:val="0"/>
          <w:bCs w:val="0"/>
          <w:i w:val="0"/>
          <w:iCs w:val="0"/>
          <w:caps w:val="0"/>
          <w:color w:val="333333"/>
          <w:spacing w:val="0"/>
          <w:sz w:val="31"/>
          <w:szCs w:val="31"/>
          <w:shd w:val="clear" w:fill="FFFFFF"/>
        </w:rPr>
        <w:t>“</w:t>
      </w:r>
      <w:r>
        <w:rPr>
          <w:rFonts w:hint="eastAsia" w:ascii="仿宋_GB2312" w:hAnsi="仿宋_GB2312" w:eastAsia="仿宋_GB2312" w:cs="仿宋_GB2312"/>
          <w:b w:val="0"/>
          <w:bCs w:val="0"/>
          <w:i w:val="0"/>
          <w:iCs w:val="0"/>
          <w:caps w:val="0"/>
          <w:color w:val="333333"/>
          <w:spacing w:val="0"/>
          <w:sz w:val="31"/>
          <w:szCs w:val="31"/>
          <w:shd w:val="clear" w:fill="FFFFFF"/>
        </w:rPr>
        <w:t>奉新公安</w:t>
      </w:r>
      <w:r>
        <w:rPr>
          <w:rFonts w:hint="default" w:ascii="helvetica" w:hAnsi="helvetica" w:eastAsia="helvetica" w:cs="helvetica"/>
          <w:b w:val="0"/>
          <w:bCs w:val="0"/>
          <w:i w:val="0"/>
          <w:iCs w:val="0"/>
          <w:caps w:val="0"/>
          <w:color w:val="333333"/>
          <w:spacing w:val="0"/>
          <w:sz w:val="31"/>
          <w:szCs w:val="31"/>
          <w:shd w:val="clear" w:fill="FFFFFF"/>
        </w:rPr>
        <w:t>”</w:t>
      </w:r>
      <w:r>
        <w:rPr>
          <w:rFonts w:hint="eastAsia" w:ascii="仿宋_GB2312" w:hAnsi="仿宋_GB2312" w:eastAsia="仿宋_GB2312" w:cs="仿宋_GB2312"/>
          <w:b w:val="0"/>
          <w:bCs w:val="0"/>
          <w:i w:val="0"/>
          <w:iCs w:val="0"/>
          <w:caps w:val="0"/>
          <w:color w:val="333333"/>
          <w:spacing w:val="0"/>
          <w:sz w:val="31"/>
          <w:szCs w:val="31"/>
          <w:shd w:val="clear" w:fill="FFFFFF"/>
        </w:rPr>
        <w:t>微信公众号发布信息</w:t>
      </w:r>
      <w:r>
        <w:rPr>
          <w:rFonts w:hint="default" w:ascii="仿宋_GB2312" w:hAnsi="仿宋_GB2312" w:eastAsia="仿宋_GB2312" w:cs="仿宋_GB2312"/>
          <w:b w:val="0"/>
          <w:bCs w:val="0"/>
          <w:i w:val="0"/>
          <w:iCs w:val="0"/>
          <w:caps w:val="0"/>
          <w:color w:val="333333"/>
          <w:spacing w:val="0"/>
          <w:sz w:val="31"/>
          <w:szCs w:val="31"/>
          <w:shd w:val="clear" w:fill="FFFFFF"/>
          <w:lang w:val="en-US"/>
        </w:rPr>
        <w:t>351</w:t>
      </w:r>
      <w:r>
        <w:rPr>
          <w:rFonts w:hint="eastAsia" w:ascii="仿宋_GB2312" w:hAnsi="仿宋_GB2312" w:eastAsia="仿宋_GB2312" w:cs="仿宋_GB2312"/>
          <w:b w:val="0"/>
          <w:bCs w:val="0"/>
          <w:i w:val="0"/>
          <w:iCs w:val="0"/>
          <w:caps w:val="0"/>
          <w:color w:val="333333"/>
          <w:spacing w:val="0"/>
          <w:sz w:val="31"/>
          <w:szCs w:val="31"/>
          <w:shd w:val="clear" w:fill="FFFFFF"/>
        </w:rPr>
        <w:t>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16" w:afterAutospacing="0" w:line="560" w:lineRule="exact"/>
        <w:ind w:left="0" w:right="0" w:firstLine="645"/>
        <w:jc w:val="both"/>
        <w:textAlignment w:val="auto"/>
        <w:rPr>
          <w:rFonts w:hint="eastAsia" w:ascii="仿宋" w:hAnsi="仿宋" w:eastAsia="仿宋" w:cs="仿宋"/>
          <w:i w:val="0"/>
          <w:iCs w:val="0"/>
          <w:caps w:val="0"/>
          <w:color w:val="333333"/>
          <w:spacing w:val="0"/>
          <w:sz w:val="31"/>
          <w:szCs w:val="31"/>
        </w:rPr>
      </w:pPr>
      <w:r>
        <w:rPr>
          <w:rFonts w:hint="eastAsia" w:ascii="黑体" w:hAnsi="宋体" w:eastAsia="黑体" w:cs="黑体"/>
          <w:b/>
          <w:bCs/>
          <w:i w:val="0"/>
          <w:iCs w:val="0"/>
          <w:caps w:val="0"/>
          <w:color w:val="333333"/>
          <w:spacing w:val="0"/>
          <w:sz w:val="31"/>
          <w:szCs w:val="31"/>
          <w:shd w:val="clear" w:fill="FFFFFF"/>
        </w:rPr>
        <w:t>（</w:t>
      </w:r>
      <w:r>
        <w:rPr>
          <w:rFonts w:hint="eastAsia" w:ascii="黑体" w:hAnsi="宋体" w:eastAsia="黑体" w:cs="黑体"/>
          <w:b/>
          <w:bCs/>
          <w:i w:val="0"/>
          <w:iCs w:val="0"/>
          <w:caps w:val="0"/>
          <w:color w:val="333333"/>
          <w:spacing w:val="0"/>
          <w:sz w:val="31"/>
          <w:szCs w:val="31"/>
          <w:shd w:val="clear" w:fill="FFFFFF"/>
          <w:lang w:eastAsia="zh-CN"/>
        </w:rPr>
        <w:t>二</w:t>
      </w:r>
      <w:r>
        <w:rPr>
          <w:rFonts w:hint="eastAsia" w:ascii="黑体" w:hAnsi="宋体" w:eastAsia="黑体" w:cs="黑体"/>
          <w:b/>
          <w:bCs/>
          <w:i w:val="0"/>
          <w:iCs w:val="0"/>
          <w:caps w:val="0"/>
          <w:color w:val="333333"/>
          <w:spacing w:val="0"/>
          <w:sz w:val="31"/>
          <w:szCs w:val="31"/>
          <w:shd w:val="clear" w:fill="FFFFFF"/>
        </w:rPr>
        <w:t>）依申请公开方面。</w:t>
      </w:r>
      <w:r>
        <w:rPr>
          <w:rFonts w:hint="eastAsia" w:ascii="仿宋" w:hAnsi="仿宋" w:eastAsia="仿宋" w:cs="仿宋"/>
          <w:i w:val="0"/>
          <w:iCs w:val="0"/>
          <w:caps w:val="0"/>
          <w:color w:val="333333"/>
          <w:spacing w:val="0"/>
          <w:sz w:val="31"/>
          <w:szCs w:val="31"/>
        </w:rPr>
        <w:t>2021年度，奉新县公安局未收到依申请公开政府信息。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3"/>
        <w:jc w:val="both"/>
        <w:textAlignment w:val="auto"/>
        <w:rPr>
          <w:rFonts w:hint="eastAsia" w:ascii="仿宋" w:hAnsi="仿宋" w:eastAsia="仿宋" w:cs="仿宋"/>
          <w:i w:val="0"/>
          <w:iCs w:val="0"/>
          <w:caps w:val="0"/>
          <w:color w:val="333333"/>
          <w:spacing w:val="0"/>
          <w:sz w:val="31"/>
          <w:szCs w:val="31"/>
          <w:shd w:val="clear" w:fill="FFFFFF"/>
        </w:rPr>
      </w:pPr>
      <w:r>
        <w:rPr>
          <w:rFonts w:hint="eastAsia" w:ascii="黑体" w:hAnsi="宋体" w:eastAsia="黑体" w:cs="黑体"/>
          <w:b/>
          <w:bCs/>
          <w:i w:val="0"/>
          <w:iCs w:val="0"/>
          <w:caps w:val="0"/>
          <w:color w:val="333333"/>
          <w:spacing w:val="0"/>
          <w:sz w:val="31"/>
          <w:szCs w:val="31"/>
          <w:shd w:val="clear" w:fill="FFFFFF"/>
        </w:rPr>
        <w:t>（三）政府信息管理方面。</w:t>
      </w:r>
      <w:bookmarkStart w:id="0" w:name="_GoBack"/>
      <w:r>
        <w:rPr>
          <w:rFonts w:hint="eastAsia" w:ascii="仿宋" w:hAnsi="仿宋" w:eastAsia="仿宋" w:cs="仿宋"/>
          <w:i w:val="0"/>
          <w:iCs w:val="0"/>
          <w:caps w:val="0"/>
          <w:color w:val="333333"/>
          <w:spacing w:val="0"/>
          <w:kern w:val="2"/>
          <w:sz w:val="31"/>
          <w:szCs w:val="31"/>
          <w:lang w:val="en-US" w:eastAsia="zh-CN" w:bidi="ar-SA"/>
        </w:rPr>
        <w:t>根据《政府信息公开条例》的要求，县公安局加强信息发布审核，按照“先审查，后公开”、“一事一审”原则及相关政府信息公开工作的要求，持续完善政务信息常态化管理机制，严格落实各项工作责任，加强“三审三校”责任落实，不断健全组织机构，规范公开流程、强化平台建设和推进办事公开，使政府信息公开更加透明化，群众满意度进一步提高。</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3"/>
        <w:jc w:val="both"/>
        <w:textAlignment w:val="auto"/>
        <w:rPr>
          <w:rFonts w:hint="eastAsia" w:ascii="仿宋" w:hAnsi="仿宋" w:eastAsia="仿宋" w:cs="仿宋"/>
          <w:i w:val="0"/>
          <w:iCs w:val="0"/>
          <w:caps w:val="0"/>
          <w:color w:val="333333"/>
          <w:spacing w:val="0"/>
          <w:kern w:val="2"/>
          <w:sz w:val="31"/>
          <w:szCs w:val="31"/>
          <w:lang w:val="en-US" w:eastAsia="zh-CN" w:bidi="ar-SA"/>
        </w:rPr>
      </w:pPr>
      <w:r>
        <w:rPr>
          <w:rFonts w:hint="eastAsia" w:ascii="黑体" w:hAnsi="宋体" w:eastAsia="黑体" w:cs="黑体"/>
          <w:b/>
          <w:bCs/>
          <w:i w:val="0"/>
          <w:iCs w:val="0"/>
          <w:caps w:val="0"/>
          <w:color w:val="333333"/>
          <w:spacing w:val="0"/>
          <w:sz w:val="31"/>
          <w:szCs w:val="31"/>
          <w:shd w:val="clear" w:fill="FFFFFF"/>
        </w:rPr>
        <w:t>（四）政府信息公开平台建设方面。</w:t>
      </w:r>
      <w:r>
        <w:rPr>
          <w:rFonts w:hint="eastAsia" w:ascii="仿宋" w:hAnsi="仿宋" w:eastAsia="仿宋" w:cs="仿宋"/>
          <w:i w:val="0"/>
          <w:iCs w:val="0"/>
          <w:caps w:val="0"/>
          <w:color w:val="333333"/>
          <w:spacing w:val="0"/>
          <w:kern w:val="2"/>
          <w:sz w:val="31"/>
          <w:szCs w:val="31"/>
          <w:lang w:val="en-US" w:eastAsia="zh-CN" w:bidi="ar-SA"/>
        </w:rPr>
        <w:t>我局依托政府信息公开平台保障公开运行，围绕“信息公开、公共服务、政民互动”三大功能定位，安排专人负责网站的维护，定期上传和更新信息，对网站系统后台信息公开功能进行完善，及时在网络平台公开发布主动公开政府信息，切实保障政府信息公开的时效性和准确性。同时开展多形式多渠道的宣传解读活动，充分利用每年的“110宣传日”、“626国际禁毒日”等活动，加大在“奉新公安”微信公众号“人民日报”等宣传矩阵平台的宣传力度，营造浓厚宣传教育氛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left="0" w:right="0" w:firstLine="643"/>
        <w:jc w:val="both"/>
        <w:textAlignment w:val="auto"/>
        <w:rPr>
          <w:rFonts w:hint="eastAsia" w:ascii="仿宋" w:hAnsi="仿宋" w:eastAsia="仿宋" w:cs="仿宋"/>
          <w:i w:val="0"/>
          <w:iCs w:val="0"/>
          <w:caps w:val="0"/>
          <w:color w:val="333333"/>
          <w:spacing w:val="0"/>
          <w:kern w:val="2"/>
          <w:sz w:val="31"/>
          <w:szCs w:val="31"/>
          <w:lang w:val="en-US" w:eastAsia="zh-CN" w:bidi="ar-SA"/>
        </w:rPr>
      </w:pPr>
      <w:r>
        <w:rPr>
          <w:rFonts w:hint="eastAsia" w:ascii="黑体" w:hAnsi="宋体" w:eastAsia="黑体" w:cs="黑体"/>
          <w:b/>
          <w:bCs/>
          <w:i w:val="0"/>
          <w:iCs w:val="0"/>
          <w:caps w:val="0"/>
          <w:color w:val="333333"/>
          <w:spacing w:val="0"/>
          <w:sz w:val="31"/>
          <w:szCs w:val="31"/>
          <w:shd w:val="clear" w:fill="FFFFFF"/>
        </w:rPr>
        <w:t>（五）监督保障方面。</w:t>
      </w:r>
      <w:r>
        <w:rPr>
          <w:rFonts w:hint="eastAsia" w:ascii="仿宋" w:hAnsi="仿宋" w:eastAsia="仿宋" w:cs="仿宋"/>
          <w:i w:val="0"/>
          <w:iCs w:val="0"/>
          <w:caps w:val="0"/>
          <w:color w:val="333333"/>
          <w:spacing w:val="0"/>
          <w:kern w:val="2"/>
          <w:sz w:val="31"/>
          <w:szCs w:val="31"/>
          <w:lang w:val="en-US" w:eastAsia="zh-CN" w:bidi="ar-SA"/>
        </w:rPr>
        <w:t>为加强对政府信息公开工作的领导，县公安局成立了由局党委书记任组长，分管局领导任副组长，其他班子成员为成员的政府信息公开工作领导小组，领导小组下设办公室，负责政府信息公开工作的具体落实。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480"/>
        <w:jc w:val="left"/>
      </w:pPr>
      <w:r>
        <w:rPr>
          <w:rFonts w:hint="eastAsia" w:ascii="微软雅黑" w:hAnsi="微软雅黑" w:eastAsia="微软雅黑" w:cs="微软雅黑"/>
          <w:b w:val="0"/>
          <w:bCs w:val="0"/>
          <w:i w:val="0"/>
          <w:iCs w:val="0"/>
          <w:caps w:val="0"/>
          <w:color w:val="333333"/>
          <w:spacing w:val="0"/>
          <w:sz w:val="27"/>
          <w:szCs w:val="27"/>
          <w:shd w:val="clear" w:fill="FFFFFF"/>
        </w:rPr>
        <w:t> </w:t>
      </w:r>
      <w:r>
        <w:rPr>
          <w:rFonts w:hint="eastAsia" w:ascii="黑体" w:hAnsi="宋体" w:eastAsia="黑体" w:cs="黑体"/>
          <w:i w:val="0"/>
          <w:iCs w:val="0"/>
          <w:caps w:val="0"/>
          <w:color w:val="333333"/>
          <w:spacing w:val="0"/>
          <w:sz w:val="31"/>
          <w:szCs w:val="31"/>
          <w:shd w:val="clear" w:fill="FFFFFF"/>
        </w:rPr>
        <w:t>二、主动公开政府信息情况</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860"/>
        <w:gridCol w:w="1845"/>
        <w:gridCol w:w="1845"/>
        <w:gridCol w:w="2130"/>
        <w:gridCol w:w="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 w:hRule="atLeast"/>
        </w:trPr>
        <w:tc>
          <w:tcPr>
            <w:tcW w:w="7665" w:type="dxa"/>
            <w:gridSpan w:val="4"/>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第二十条第（一）项</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6" w:hRule="atLeast"/>
        </w:trPr>
        <w:tc>
          <w:tcPr>
            <w:tcW w:w="1860" w:type="dxa"/>
            <w:vMerge w:val="restart"/>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信息内容</w:t>
            </w:r>
          </w:p>
        </w:tc>
        <w:tc>
          <w:tcPr>
            <w:tcW w:w="184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本年制发件数</w:t>
            </w:r>
          </w:p>
        </w:tc>
        <w:tc>
          <w:tcPr>
            <w:tcW w:w="1845"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本年废止件数</w:t>
            </w:r>
          </w:p>
        </w:tc>
        <w:tc>
          <w:tcPr>
            <w:tcW w:w="2130" w:type="dxa"/>
            <w:vMerge w:val="restart"/>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现行有效件数</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1860" w:type="dxa"/>
            <w:vMerge w:val="continue"/>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184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1845"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2130" w:type="dxa"/>
            <w:vMerge w:val="continue"/>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sz w:val="24"/>
                <w:szCs w:val="24"/>
              </w:rPr>
            </w:pP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186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规章</w:t>
            </w:r>
          </w:p>
        </w:tc>
        <w:tc>
          <w:tcPr>
            <w:tcW w:w="184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184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1860"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规范性文件</w:t>
            </w:r>
          </w:p>
        </w:tc>
        <w:tc>
          <w:tcPr>
            <w:tcW w:w="184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184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2130"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 w:hRule="atLeast"/>
        </w:trPr>
        <w:tc>
          <w:tcPr>
            <w:tcW w:w="7665" w:type="dxa"/>
            <w:gridSpan w:val="4"/>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第二十条第（五）项</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 w:hRule="atLeast"/>
        </w:trPr>
        <w:tc>
          <w:tcPr>
            <w:tcW w:w="0" w:type="auto"/>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信息内容</w:t>
            </w:r>
          </w:p>
        </w:tc>
        <w:tc>
          <w:tcPr>
            <w:tcW w:w="5805" w:type="dxa"/>
            <w:gridSpan w:val="3"/>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本年处理决定数量</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 w:hRule="atLeast"/>
        </w:trPr>
        <w:tc>
          <w:tcPr>
            <w:tcW w:w="0" w:type="auto"/>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行政许可</w:t>
            </w:r>
          </w:p>
        </w:tc>
        <w:tc>
          <w:tcPr>
            <w:tcW w:w="5805" w:type="dxa"/>
            <w:gridSpan w:val="3"/>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lang w:val="en-US" w:eastAsia="zh-CN"/>
              </w:rPr>
            </w:pPr>
            <w:r>
              <w:rPr>
                <w:rFonts w:hint="eastAsia" w:ascii="宋体" w:hAnsi="宋体" w:eastAsia="宋体" w:cs="宋体"/>
                <w:color w:val="333333"/>
                <w:sz w:val="19"/>
                <w:szCs w:val="19"/>
                <w:lang w:val="en-US" w:eastAsia="zh-CN"/>
              </w:rPr>
              <w:t>416</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trPr>
        <w:tc>
          <w:tcPr>
            <w:tcW w:w="7665" w:type="dxa"/>
            <w:gridSpan w:val="4"/>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第二十条第（六）项</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rPr>
        <w:tc>
          <w:tcPr>
            <w:tcW w:w="0" w:type="auto"/>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信息内容</w:t>
            </w:r>
          </w:p>
        </w:tc>
        <w:tc>
          <w:tcPr>
            <w:tcW w:w="5805" w:type="dxa"/>
            <w:gridSpan w:val="3"/>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本年处理决定数量</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0" w:type="auto"/>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行政处罚</w:t>
            </w:r>
          </w:p>
        </w:tc>
        <w:tc>
          <w:tcPr>
            <w:tcW w:w="5805" w:type="dxa"/>
            <w:gridSpan w:val="3"/>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eastAsiaTheme="minorEastAsia"/>
                <w:lang w:val="en-US" w:eastAsia="zh-CN"/>
              </w:rPr>
            </w:pPr>
            <w:r>
              <w:rPr>
                <w:rFonts w:hint="eastAsia"/>
                <w:lang w:val="en-US" w:eastAsia="zh-CN"/>
              </w:rPr>
              <w:t>531</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0" w:type="auto"/>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行政强制</w:t>
            </w:r>
          </w:p>
        </w:tc>
        <w:tc>
          <w:tcPr>
            <w:tcW w:w="5805" w:type="dxa"/>
            <w:gridSpan w:val="3"/>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 w:hRule="atLeast"/>
        </w:trPr>
        <w:tc>
          <w:tcPr>
            <w:tcW w:w="7665" w:type="dxa"/>
            <w:gridSpan w:val="4"/>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第二十条第（八）项</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0" w:type="auto"/>
            <w:tcBorders>
              <w:top w:val="nil"/>
              <w:left w:val="single" w:color="000000" w:sz="6" w:space="0"/>
              <w:bottom w:val="single" w:color="000000" w:sz="6" w:space="0"/>
              <w:right w:val="nil"/>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信息内容</w:t>
            </w:r>
          </w:p>
        </w:tc>
        <w:tc>
          <w:tcPr>
            <w:tcW w:w="5805" w:type="dxa"/>
            <w:gridSpan w:val="3"/>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本年收费金额（单位：万元）</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6" w:hRule="atLeast"/>
        </w:trPr>
        <w:tc>
          <w:tcPr>
            <w:tcW w:w="0" w:type="auto"/>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行政事业性收费</w:t>
            </w:r>
          </w:p>
        </w:tc>
        <w:tc>
          <w:tcPr>
            <w:tcW w:w="5805" w:type="dxa"/>
            <w:gridSpan w:val="3"/>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6" w:type="dxa"/>
            <w:tcBorders>
              <w:top w:val="nil"/>
              <w:left w:val="nil"/>
              <w:bottom w:val="nil"/>
              <w:right w:val="nil"/>
            </w:tcBorders>
            <w:shd w:val="clear" w:color="auto" w:fill="auto"/>
            <w:vAlign w:val="center"/>
          </w:tcPr>
          <w:p>
            <w:pPr>
              <w:keepNext w:val="0"/>
              <w:keepLines w:val="0"/>
              <w:widowControl/>
              <w:suppressLineNumbers w:val="0"/>
              <w:spacing w:before="0" w:beforeAutospacing="0" w:after="0" w:afterAutospacing="0"/>
              <w:ind w:left="0" w:right="0"/>
              <w:jc w:val="left"/>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jc w:val="both"/>
      </w:pPr>
      <w:r>
        <w:rPr>
          <w:rFonts w:hint="eastAsia" w:ascii="黑体" w:hAnsi="宋体" w:eastAsia="黑体" w:cs="黑体"/>
          <w:i w:val="0"/>
          <w:iCs w:val="0"/>
          <w:caps w:val="0"/>
          <w:color w:val="333333"/>
          <w:spacing w:val="0"/>
          <w:sz w:val="31"/>
          <w:szCs w:val="31"/>
          <w:shd w:val="clear" w:fill="FFFFFF"/>
        </w:rPr>
        <w:t>  三、政府信息依申请公开办理情况</w:t>
      </w: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94"/>
        <w:gridCol w:w="1011"/>
        <w:gridCol w:w="2555"/>
        <w:gridCol w:w="516"/>
        <w:gridCol w:w="573"/>
        <w:gridCol w:w="573"/>
        <w:gridCol w:w="689"/>
        <w:gridCol w:w="689"/>
        <w:gridCol w:w="458"/>
        <w:gridCol w:w="4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0" w:type="auto"/>
            <w:gridSpan w:val="3"/>
            <w:vMerge w:val="restart"/>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（本列数据的勾稽关系为：第一项加第二项之和，等于第三项加第四项之和）</w:t>
            </w:r>
          </w:p>
        </w:tc>
        <w:tc>
          <w:tcPr>
            <w:tcW w:w="0" w:type="auto"/>
            <w:gridSpan w:val="7"/>
            <w:tcBorders>
              <w:top w:val="single" w:color="000000" w:sz="6" w:space="0"/>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5" w:hRule="atLeast"/>
        </w:trPr>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自然人</w:t>
            </w:r>
          </w:p>
        </w:tc>
        <w:tc>
          <w:tcPr>
            <w:tcW w:w="0" w:type="auto"/>
            <w:gridSpan w:val="5"/>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法人或其他组织</w:t>
            </w:r>
          </w:p>
        </w:tc>
        <w:tc>
          <w:tcPr>
            <w:tcW w:w="0" w:type="auto"/>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0" w:hRule="atLeast"/>
        </w:trPr>
        <w:tc>
          <w:tcPr>
            <w:tcW w:w="0" w:type="auto"/>
            <w:gridSpan w:val="3"/>
            <w:vMerge w:val="continue"/>
            <w:tcBorders>
              <w:top w:val="single" w:color="000000" w:sz="6" w:space="0"/>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商业企业</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科研机构</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社会公益组织</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法律服务机构</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其他</w:t>
            </w: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0" w:type="auto"/>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一、本年新收政府信息公开申请数量</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0" w:type="auto"/>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二、上年结转政府信息公开申请数量</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0" w:type="auto"/>
            <w:vMerge w:val="restart"/>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三、本年度办理结果</w:t>
            </w:r>
          </w:p>
        </w:tc>
        <w:tc>
          <w:tcPr>
            <w:tcW w:w="0" w:type="auto"/>
            <w:gridSpan w:val="2"/>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（一）予以公开</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7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gridSpan w:val="2"/>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（二）部分公开（区分处理的，只计这一情形，不计其他情形）</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（三）不予公开</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1.属于国家秘密</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2.其他法律行政法规禁止公开</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3.危及“三安全一稳定”</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4.保护第三方合法权益</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5.属于三类内部事务信息</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6.属于四类过程性信息</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7.属于行政执法案卷</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8.属于行政查询事项</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2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（四）无法提供</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1.本机关不掌握相关政府信息</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2.没有现成信息需要另行制作</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3.补正后申请内容仍不明确</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（五）不予处理</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1.信访举报投诉类申请</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6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2.重复申请</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3.要求提供公开出版物</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4.无正当理由大量反复申请</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55"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5.要求行政机关确认或重新出具已获取信息</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66"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restart"/>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（六）其他处理</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1.申请人无正当理由逾期不补正、行政机关不再处理其政府信息公开申请</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06"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vMerge w:val="continue"/>
            <w:tcBorders>
              <w:top w:val="nil"/>
              <w:left w:val="nil"/>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2.申请人逾期未按收费通知要求缴纳费用、行政机关不再处理其政府信息公开申请</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0" w:type="auto"/>
            <w:vMerge w:val="continue"/>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rPr>
                <w:rFonts w:hint="eastAsia" w:ascii="宋体"/>
                <w:sz w:val="24"/>
                <w:szCs w:val="24"/>
              </w:rPr>
            </w:pPr>
          </w:p>
        </w:tc>
        <w:tc>
          <w:tcPr>
            <w:tcW w:w="0" w:type="auto"/>
            <w:gridSpan w:val="2"/>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（七）总计</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0" w:type="auto"/>
            <w:gridSpan w:val="3"/>
            <w:tcBorders>
              <w:top w:val="nil"/>
              <w:left w:val="single" w:color="000000" w:sz="6" w:space="0"/>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四、结转下年度继续办理</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c>
          <w:tcPr>
            <w:tcW w:w="0" w:type="auto"/>
            <w:tcBorders>
              <w:top w:val="nil"/>
              <w:left w:val="nil"/>
              <w:bottom w:val="single" w:color="000000" w:sz="6" w:space="0"/>
              <w:right w:val="single" w:color="000000"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tLeast"/>
        <w:ind w:left="0" w:right="0"/>
        <w:jc w:val="both"/>
      </w:pPr>
      <w:r>
        <w:rPr>
          <w:rFonts w:hint="eastAsia" w:ascii="黑体" w:hAnsi="宋体" w:eastAsia="黑体" w:cs="黑体"/>
          <w:i w:val="0"/>
          <w:iCs w:val="0"/>
          <w:caps w:val="0"/>
          <w:color w:val="333333"/>
          <w:spacing w:val="0"/>
          <w:sz w:val="31"/>
          <w:szCs w:val="31"/>
          <w:shd w:val="clear" w:fill="FFFFFF"/>
        </w:rPr>
        <w:t>  四、政府信息公开行政复议、行政诉讼情况</w:t>
      </w:r>
    </w:p>
    <w:tbl>
      <w:tblPr>
        <w:tblStyle w:val="4"/>
        <w:tblW w:w="101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1"/>
        <w:gridCol w:w="671"/>
        <w:gridCol w:w="671"/>
        <w:gridCol w:w="671"/>
        <w:gridCol w:w="745"/>
        <w:gridCol w:w="612"/>
        <w:gridCol w:w="671"/>
        <w:gridCol w:w="671"/>
        <w:gridCol w:w="671"/>
        <w:gridCol w:w="686"/>
        <w:gridCol w:w="671"/>
        <w:gridCol w:w="671"/>
        <w:gridCol w:w="671"/>
        <w:gridCol w:w="671"/>
        <w:gridCol w:w="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435" w:type="dxa"/>
            <w:gridSpan w:val="5"/>
            <w:tcBorders>
              <w:top w:val="single" w:color="000000" w:sz="6" w:space="0"/>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行政复议</w:t>
            </w:r>
          </w:p>
        </w:tc>
        <w:tc>
          <w:tcPr>
            <w:tcW w:w="6705" w:type="dxa"/>
            <w:gridSpan w:val="10"/>
            <w:tcBorders>
              <w:top w:val="single" w:color="000000" w:sz="6" w:space="0"/>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 w:hRule="atLeast"/>
        </w:trPr>
        <w:tc>
          <w:tcPr>
            <w:tcW w:w="675" w:type="dxa"/>
            <w:vMerge w:val="restart"/>
            <w:tcBorders>
              <w:top w:val="nil"/>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结果维持</w:t>
            </w:r>
          </w:p>
        </w:tc>
        <w:tc>
          <w:tcPr>
            <w:tcW w:w="675" w:type="dxa"/>
            <w:vMerge w:val="restart"/>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结果纠正</w:t>
            </w:r>
          </w:p>
        </w:tc>
        <w:tc>
          <w:tcPr>
            <w:tcW w:w="675" w:type="dxa"/>
            <w:vMerge w:val="restart"/>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其他结果</w:t>
            </w:r>
          </w:p>
        </w:tc>
        <w:tc>
          <w:tcPr>
            <w:tcW w:w="675" w:type="dxa"/>
            <w:vMerge w:val="restart"/>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尚未审结</w:t>
            </w:r>
          </w:p>
        </w:tc>
        <w:tc>
          <w:tcPr>
            <w:tcW w:w="750" w:type="dxa"/>
            <w:vMerge w:val="restart"/>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总计</w:t>
            </w:r>
          </w:p>
        </w:tc>
        <w:tc>
          <w:tcPr>
            <w:tcW w:w="3315" w:type="dxa"/>
            <w:gridSpan w:val="5"/>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未经复议直接起诉</w:t>
            </w:r>
          </w:p>
        </w:tc>
        <w:tc>
          <w:tcPr>
            <w:tcW w:w="3390" w:type="dxa"/>
            <w:gridSpan w:val="5"/>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675" w:type="dxa"/>
            <w:vMerge w:val="continue"/>
            <w:tcBorders>
              <w:top w:val="nil"/>
              <w:left w:val="single" w:color="000000" w:sz="6" w:space="0"/>
              <w:bottom w:val="single" w:color="000000" w:sz="6" w:space="0"/>
              <w:right w:val="single" w:color="000000" w:sz="6" w:space="0"/>
            </w:tcBorders>
            <w:shd w:val="clear" w:color="auto" w:fill="auto"/>
            <w:tcMar>
              <w:left w:w="120" w:type="dxa"/>
              <w:right w:w="120" w:type="dxa"/>
            </w:tcMar>
            <w:vAlign w:val="center"/>
          </w:tcPr>
          <w:p>
            <w:pPr>
              <w:rPr>
                <w:rFonts w:hint="eastAsia" w:ascii="宋体"/>
                <w:sz w:val="24"/>
                <w:szCs w:val="24"/>
              </w:rPr>
            </w:pPr>
          </w:p>
        </w:tc>
        <w:tc>
          <w:tcPr>
            <w:tcW w:w="675" w:type="dxa"/>
            <w:vMerge w:val="continue"/>
            <w:tcBorders>
              <w:top w:val="nil"/>
              <w:left w:val="nil"/>
              <w:bottom w:val="single" w:color="000000" w:sz="6" w:space="0"/>
              <w:right w:val="single" w:color="000000" w:sz="6" w:space="0"/>
            </w:tcBorders>
            <w:shd w:val="clear" w:color="auto" w:fill="auto"/>
            <w:tcMar>
              <w:left w:w="120" w:type="dxa"/>
              <w:right w:w="120" w:type="dxa"/>
            </w:tcMar>
            <w:vAlign w:val="center"/>
          </w:tcPr>
          <w:p>
            <w:pPr>
              <w:rPr>
                <w:rFonts w:hint="eastAsia" w:ascii="宋体"/>
                <w:sz w:val="24"/>
                <w:szCs w:val="24"/>
              </w:rPr>
            </w:pPr>
          </w:p>
        </w:tc>
        <w:tc>
          <w:tcPr>
            <w:tcW w:w="675" w:type="dxa"/>
            <w:vMerge w:val="continue"/>
            <w:tcBorders>
              <w:top w:val="nil"/>
              <w:left w:val="nil"/>
              <w:bottom w:val="single" w:color="000000" w:sz="6" w:space="0"/>
              <w:right w:val="single" w:color="000000" w:sz="6" w:space="0"/>
            </w:tcBorders>
            <w:shd w:val="clear" w:color="auto" w:fill="auto"/>
            <w:tcMar>
              <w:left w:w="120" w:type="dxa"/>
              <w:right w:w="120" w:type="dxa"/>
            </w:tcMar>
            <w:vAlign w:val="center"/>
          </w:tcPr>
          <w:p>
            <w:pPr>
              <w:rPr>
                <w:rFonts w:hint="eastAsia" w:ascii="宋体"/>
                <w:sz w:val="24"/>
                <w:szCs w:val="24"/>
              </w:rPr>
            </w:pPr>
          </w:p>
        </w:tc>
        <w:tc>
          <w:tcPr>
            <w:tcW w:w="675" w:type="dxa"/>
            <w:vMerge w:val="continue"/>
            <w:tcBorders>
              <w:top w:val="nil"/>
              <w:left w:val="nil"/>
              <w:bottom w:val="single" w:color="000000" w:sz="6" w:space="0"/>
              <w:right w:val="single" w:color="000000" w:sz="6" w:space="0"/>
            </w:tcBorders>
            <w:shd w:val="clear" w:color="auto" w:fill="auto"/>
            <w:tcMar>
              <w:left w:w="120" w:type="dxa"/>
              <w:right w:w="120" w:type="dxa"/>
            </w:tcMar>
            <w:vAlign w:val="center"/>
          </w:tcPr>
          <w:p>
            <w:pPr>
              <w:rPr>
                <w:rFonts w:hint="eastAsia" w:ascii="宋体"/>
                <w:sz w:val="24"/>
                <w:szCs w:val="24"/>
              </w:rPr>
            </w:pPr>
          </w:p>
        </w:tc>
        <w:tc>
          <w:tcPr>
            <w:tcW w:w="750" w:type="dxa"/>
            <w:vMerge w:val="continue"/>
            <w:tcBorders>
              <w:top w:val="nil"/>
              <w:left w:val="nil"/>
              <w:bottom w:val="single" w:color="000000" w:sz="6" w:space="0"/>
              <w:right w:val="single" w:color="000000" w:sz="6" w:space="0"/>
            </w:tcBorders>
            <w:shd w:val="clear" w:color="auto" w:fill="auto"/>
            <w:tcMar>
              <w:left w:w="120" w:type="dxa"/>
              <w:right w:w="120" w:type="dxa"/>
            </w:tcMar>
            <w:vAlign w:val="center"/>
          </w:tcPr>
          <w:p>
            <w:pPr>
              <w:rPr>
                <w:rFonts w:hint="eastAsia" w:ascii="宋体"/>
                <w:sz w:val="24"/>
                <w:szCs w:val="24"/>
              </w:rPr>
            </w:pPr>
          </w:p>
        </w:tc>
        <w:tc>
          <w:tcPr>
            <w:tcW w:w="61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结果维持</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结果纠正</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其他结果</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尚未审结</w:t>
            </w:r>
          </w:p>
        </w:tc>
        <w:tc>
          <w:tcPr>
            <w:tcW w:w="690"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总计</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结果维持</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结果纠正</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其他结果</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尚未审结</w:t>
            </w:r>
          </w:p>
        </w:tc>
        <w:tc>
          <w:tcPr>
            <w:tcW w:w="70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675" w:type="dxa"/>
            <w:tcBorders>
              <w:top w:val="nil"/>
              <w:left w:val="single" w:color="000000" w:sz="6" w:space="0"/>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750"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1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90"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67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c>
          <w:tcPr>
            <w:tcW w:w="705" w:type="dxa"/>
            <w:tcBorders>
              <w:top w:val="nil"/>
              <w:left w:val="nil"/>
              <w:bottom w:val="single" w:color="000000" w:sz="6" w:space="0"/>
              <w:right w:val="single" w:color="000000" w:sz="6" w:space="0"/>
            </w:tcBorders>
            <w:shd w:val="clear" w:color="auto" w:fill="auto"/>
            <w:tcMar>
              <w:left w:w="120" w:type="dxa"/>
              <w:right w:w="12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pPr>
            <w:r>
              <w:rPr>
                <w:rFonts w:hint="eastAsia" w:ascii="宋体" w:hAnsi="宋体" w:eastAsia="宋体" w:cs="宋体"/>
                <w:color w:val="333333"/>
                <w:sz w:val="19"/>
                <w:szCs w:val="19"/>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 w:afterAutospacing="0" w:line="450" w:lineRule="atLeast"/>
        <w:ind w:left="0" w:right="0" w:firstLine="0"/>
        <w:jc w:val="both"/>
      </w:pPr>
    </w:p>
    <w:p>
      <w:pPr>
        <w:keepNext w:val="0"/>
        <w:keepLines w:val="0"/>
        <w:pageBreakBefore w:val="0"/>
        <w:kinsoku/>
        <w:overflowPunct/>
        <w:topLinePunct w:val="0"/>
        <w:autoSpaceDE/>
        <w:autoSpaceDN/>
        <w:bidi w:val="0"/>
        <w:adjustRightInd/>
        <w:snapToGrid/>
        <w:spacing w:line="560" w:lineRule="exact"/>
        <w:ind w:firstLine="622" w:firstLineChars="200"/>
        <w:textAlignment w:val="auto"/>
        <w:rPr>
          <w:rStyle w:val="6"/>
          <w:rFonts w:hint="eastAsia" w:ascii="黑体" w:hAnsi="宋体" w:eastAsia="黑体" w:cs="黑体"/>
          <w:i w:val="0"/>
          <w:iCs w:val="0"/>
          <w:caps w:val="0"/>
          <w:color w:val="333333"/>
          <w:spacing w:val="0"/>
          <w:kern w:val="0"/>
          <w:sz w:val="31"/>
          <w:szCs w:val="31"/>
          <w:shd w:val="clear" w:fill="FFFFFF"/>
          <w:lang w:val="en-US" w:eastAsia="zh-CN" w:bidi="ar"/>
        </w:rPr>
      </w:pPr>
      <w:r>
        <w:rPr>
          <w:rStyle w:val="6"/>
          <w:rFonts w:hint="eastAsia" w:ascii="黑体" w:hAnsi="宋体" w:eastAsia="黑体" w:cs="黑体"/>
          <w:i w:val="0"/>
          <w:iCs w:val="0"/>
          <w:caps w:val="0"/>
          <w:color w:val="333333"/>
          <w:spacing w:val="0"/>
          <w:kern w:val="0"/>
          <w:sz w:val="31"/>
          <w:szCs w:val="31"/>
          <w:shd w:val="clear" w:fill="FFFFFF"/>
          <w:lang w:val="en-US" w:eastAsia="zh-CN" w:bidi="ar"/>
        </w:rPr>
        <w:t>五、存在的主要问题及改进情况</w:t>
      </w:r>
    </w:p>
    <w:p>
      <w:pPr>
        <w:keepNext w:val="0"/>
        <w:keepLines w:val="0"/>
        <w:pageBreakBefore w:val="0"/>
        <w:kinsoku/>
        <w:overflowPunct/>
        <w:topLinePunct w:val="0"/>
        <w:autoSpaceDE/>
        <w:autoSpaceDN/>
        <w:bidi w:val="0"/>
        <w:adjustRightInd/>
        <w:snapToGrid/>
        <w:spacing w:line="560" w:lineRule="exact"/>
        <w:ind w:firstLine="620" w:firstLineChars="200"/>
        <w:textAlignment w:val="auto"/>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202</w:t>
      </w:r>
      <w:r>
        <w:rPr>
          <w:rFonts w:hint="default" w:ascii="仿宋_GB2312" w:hAnsi="仿宋_GB2312" w:eastAsia="仿宋_GB2312" w:cs="仿宋_GB2312"/>
          <w:b w:val="0"/>
          <w:bCs w:val="0"/>
          <w:i w:val="0"/>
          <w:iCs w:val="0"/>
          <w:caps w:val="0"/>
          <w:color w:val="333333"/>
          <w:spacing w:val="0"/>
          <w:kern w:val="0"/>
          <w:sz w:val="31"/>
          <w:szCs w:val="31"/>
          <w:shd w:val="clear" w:fill="FFFFFF"/>
          <w:lang w:val="en-US" w:eastAsia="zh-CN" w:bidi="ar"/>
        </w:rPr>
        <w:t>1</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年，奉新县公安局政府信息公开工作取得了一定成效，但也存在一些不足：</w:t>
      </w:r>
      <w:r>
        <w:rPr>
          <w:rFonts w:hint="eastAsia" w:ascii="仿宋_GB2312" w:hAnsi="仿宋_GB2312" w:eastAsia="仿宋_GB2312" w:cs="仿宋_GB2312"/>
          <w:b/>
          <w:bCs/>
          <w:i w:val="0"/>
          <w:iCs w:val="0"/>
          <w:caps w:val="0"/>
          <w:color w:val="333333"/>
          <w:spacing w:val="0"/>
          <w:kern w:val="0"/>
          <w:sz w:val="31"/>
          <w:szCs w:val="31"/>
          <w:shd w:val="clear" w:fill="FFFFFF"/>
          <w:lang w:val="en-US" w:eastAsia="zh-CN" w:bidi="ar"/>
        </w:rPr>
        <w:t>一是</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公开时效性方面还不够突出；</w:t>
      </w:r>
      <w:r>
        <w:rPr>
          <w:rFonts w:hint="eastAsia" w:ascii="仿宋_GB2312" w:hAnsi="仿宋_GB2312" w:eastAsia="仿宋_GB2312" w:cs="仿宋_GB2312"/>
          <w:b/>
          <w:bCs/>
          <w:i w:val="0"/>
          <w:iCs w:val="0"/>
          <w:caps w:val="0"/>
          <w:color w:val="333333"/>
          <w:spacing w:val="0"/>
          <w:kern w:val="0"/>
          <w:sz w:val="31"/>
          <w:szCs w:val="31"/>
          <w:shd w:val="clear" w:fill="FFFFFF"/>
          <w:lang w:val="en-US" w:eastAsia="zh-CN" w:bidi="ar"/>
        </w:rPr>
        <w:t>二是</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政务公开工作开展不平衡；</w:t>
      </w:r>
      <w:r>
        <w:rPr>
          <w:rFonts w:hint="eastAsia" w:ascii="仿宋_GB2312" w:hAnsi="仿宋_GB2312" w:eastAsia="仿宋_GB2312" w:cs="仿宋_GB2312"/>
          <w:b/>
          <w:bCs/>
          <w:i w:val="0"/>
          <w:iCs w:val="0"/>
          <w:caps w:val="0"/>
          <w:color w:val="333333"/>
          <w:spacing w:val="0"/>
          <w:kern w:val="0"/>
          <w:sz w:val="31"/>
          <w:szCs w:val="31"/>
          <w:shd w:val="clear" w:fill="FFFFFF"/>
          <w:lang w:val="en-US" w:eastAsia="zh-CN" w:bidi="ar"/>
        </w:rPr>
        <w:t>三是</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对政务公开工作创新拓展不够。　　</w:t>
      </w:r>
    </w:p>
    <w:p>
      <w:pPr>
        <w:keepNext w:val="0"/>
        <w:keepLines w:val="0"/>
        <w:pageBreakBefore w:val="0"/>
        <w:kinsoku/>
        <w:overflowPunct/>
        <w:topLinePunct w:val="0"/>
        <w:autoSpaceDE/>
        <w:autoSpaceDN/>
        <w:bidi w:val="0"/>
        <w:adjustRightInd/>
        <w:snapToGrid/>
        <w:spacing w:line="560" w:lineRule="exact"/>
        <w:ind w:firstLine="620" w:firstLineChars="200"/>
        <w:textAlignment w:val="auto"/>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202</w:t>
      </w:r>
      <w:r>
        <w:rPr>
          <w:rFonts w:hint="default" w:ascii="仿宋_GB2312" w:hAnsi="仿宋_GB2312" w:eastAsia="仿宋_GB2312" w:cs="仿宋_GB2312"/>
          <w:b w:val="0"/>
          <w:bCs w:val="0"/>
          <w:i w:val="0"/>
          <w:iCs w:val="0"/>
          <w:caps w:val="0"/>
          <w:color w:val="333333"/>
          <w:spacing w:val="0"/>
          <w:kern w:val="0"/>
          <w:sz w:val="31"/>
          <w:szCs w:val="31"/>
          <w:shd w:val="clear" w:fill="FFFFFF"/>
          <w:lang w:val="en-US" w:eastAsia="zh-CN" w:bidi="ar"/>
        </w:rPr>
        <w:t>2</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年，奉新县公安局将紧紧围绕公安中心工作，继续按照《</w:t>
      </w:r>
      <w:r>
        <w:rPr>
          <w:rFonts w:hint="eastAsia" w:ascii="仿宋" w:hAnsi="仿宋" w:eastAsia="仿宋" w:cs="仿宋"/>
          <w:i w:val="0"/>
          <w:iCs w:val="0"/>
          <w:caps w:val="0"/>
          <w:color w:val="333333"/>
          <w:spacing w:val="0"/>
          <w:kern w:val="2"/>
          <w:sz w:val="31"/>
          <w:szCs w:val="31"/>
          <w:lang w:val="en-US" w:eastAsia="zh-CN" w:bidi="ar-SA"/>
        </w:rPr>
        <w:t>政府信息公开条例</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》和县委、县政府及上级公安机关总体要求，重点做好以下几方面工作：</w:t>
      </w:r>
      <w:r>
        <w:rPr>
          <w:rFonts w:hint="eastAsia" w:ascii="仿宋_GB2312" w:hAnsi="仿宋_GB2312" w:eastAsia="仿宋_GB2312" w:cs="仿宋_GB2312"/>
          <w:b/>
          <w:bCs/>
          <w:i w:val="0"/>
          <w:iCs w:val="0"/>
          <w:caps w:val="0"/>
          <w:color w:val="333333"/>
          <w:spacing w:val="0"/>
          <w:kern w:val="0"/>
          <w:sz w:val="31"/>
          <w:szCs w:val="31"/>
          <w:shd w:val="clear" w:fill="FFFFFF"/>
          <w:lang w:val="en-US" w:eastAsia="zh-CN" w:bidi="ar"/>
        </w:rPr>
        <w:t>一是</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以全面推进“互联网+政务服务”平台深度应用为抓手，加大信息公开力度。</w:t>
      </w:r>
      <w:r>
        <w:rPr>
          <w:rFonts w:hint="eastAsia" w:ascii="仿宋_GB2312" w:hAnsi="仿宋_GB2312" w:eastAsia="仿宋_GB2312" w:cs="仿宋_GB2312"/>
          <w:b/>
          <w:bCs/>
          <w:i w:val="0"/>
          <w:iCs w:val="0"/>
          <w:caps w:val="0"/>
          <w:color w:val="333333"/>
          <w:spacing w:val="0"/>
          <w:kern w:val="0"/>
          <w:sz w:val="31"/>
          <w:szCs w:val="31"/>
          <w:shd w:val="clear" w:fill="FFFFFF"/>
          <w:lang w:val="en-US" w:eastAsia="zh-CN" w:bidi="ar"/>
        </w:rPr>
        <w:t>二是</w:t>
      </w:r>
      <w:r>
        <w:rPr>
          <w:rFonts w:hint="eastAsia" w:ascii="仿宋_GB2312" w:hAnsi="仿宋_GB2312" w:eastAsia="仿宋_GB2312" w:cs="仿宋_GB2312"/>
          <w:b w:val="0"/>
          <w:bCs w:val="0"/>
          <w:i w:val="0"/>
          <w:iCs w:val="0"/>
          <w:caps w:val="0"/>
          <w:color w:val="333333"/>
          <w:spacing w:val="0"/>
          <w:kern w:val="0"/>
          <w:sz w:val="31"/>
          <w:szCs w:val="31"/>
          <w:shd w:val="clear" w:fill="FFFFFF"/>
          <w:lang w:val="en-US" w:eastAsia="zh-CN" w:bidi="ar"/>
        </w:rPr>
        <w:t>始终坚持以服务为先，积极回应群众关切，着力满足人民群众的新期待。</w:t>
      </w:r>
      <w:r>
        <w:rPr>
          <w:rFonts w:hint="eastAsia" w:ascii="仿宋_GB2312" w:hAnsi="仿宋_GB2312" w:eastAsia="仿宋_GB2312" w:cs="仿宋_GB2312"/>
          <w:b/>
          <w:bCs/>
          <w:i w:val="0"/>
          <w:iCs w:val="0"/>
          <w:caps w:val="0"/>
          <w:color w:val="333333"/>
          <w:spacing w:val="0"/>
          <w:kern w:val="0"/>
          <w:sz w:val="31"/>
          <w:szCs w:val="31"/>
          <w:shd w:val="clear" w:fill="FFFFFF"/>
          <w:lang w:val="en-US" w:eastAsia="zh-CN" w:bidi="ar"/>
        </w:rPr>
        <w:t>三是</w:t>
      </w:r>
      <w:r>
        <w:rPr>
          <w:rFonts w:hint="eastAsia" w:ascii="仿宋_GB2312" w:hAnsi="仿宋_GB2312" w:eastAsia="仿宋_GB2312" w:cs="仿宋_GB2312"/>
          <w:b w:val="0"/>
          <w:bCs w:val="0"/>
          <w:i w:val="0"/>
          <w:iCs w:val="0"/>
          <w:caps w:val="0"/>
          <w:color w:val="333333"/>
          <w:spacing w:val="0"/>
          <w:sz w:val="31"/>
          <w:szCs w:val="31"/>
          <w:shd w:val="clear" w:fill="FFFFFF"/>
        </w:rPr>
        <w:t>充分发挥网络、媒体的作用，将全局政务公开工作全面面向社会。</w:t>
      </w:r>
    </w:p>
    <w:p>
      <w:pPr>
        <w:keepNext w:val="0"/>
        <w:keepLines w:val="0"/>
        <w:pageBreakBefore w:val="0"/>
        <w:kinsoku/>
        <w:overflowPunct/>
        <w:topLinePunct w:val="0"/>
        <w:autoSpaceDE/>
        <w:autoSpaceDN/>
        <w:bidi w:val="0"/>
        <w:adjustRightInd/>
        <w:snapToGrid/>
        <w:spacing w:line="560" w:lineRule="exact"/>
        <w:ind w:firstLine="622" w:firstLineChars="200"/>
        <w:textAlignment w:val="auto"/>
        <w:rPr>
          <w:rStyle w:val="6"/>
          <w:rFonts w:hint="eastAsia" w:ascii="黑体" w:hAnsi="宋体" w:eastAsia="黑体" w:cs="黑体"/>
          <w:i w:val="0"/>
          <w:iCs w:val="0"/>
          <w:caps w:val="0"/>
          <w:color w:val="333333"/>
          <w:spacing w:val="0"/>
          <w:kern w:val="0"/>
          <w:sz w:val="31"/>
          <w:szCs w:val="31"/>
          <w:shd w:val="clear" w:fill="FFFFFF"/>
          <w:lang w:val="en-US" w:eastAsia="zh-CN" w:bidi="ar"/>
        </w:rPr>
      </w:pPr>
      <w:r>
        <w:rPr>
          <w:rStyle w:val="6"/>
          <w:rFonts w:hint="eastAsia" w:ascii="黑体" w:hAnsi="宋体" w:eastAsia="黑体" w:cs="黑体"/>
          <w:i w:val="0"/>
          <w:iCs w:val="0"/>
          <w:caps w:val="0"/>
          <w:color w:val="333333"/>
          <w:spacing w:val="0"/>
          <w:kern w:val="0"/>
          <w:sz w:val="31"/>
          <w:szCs w:val="31"/>
          <w:shd w:val="clear" w:fill="FFFFFF"/>
          <w:lang w:val="en-US" w:eastAsia="zh-CN" w:bidi="ar"/>
        </w:rPr>
        <w:t>六、其他需要报告的事项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480"/>
        <w:jc w:val="both"/>
        <w:textAlignment w:val="auto"/>
      </w:pPr>
      <w:r>
        <w:rPr>
          <w:rFonts w:hint="eastAsia" w:ascii="仿宋" w:hAnsi="仿宋" w:eastAsia="仿宋" w:cs="仿宋"/>
          <w:i w:val="0"/>
          <w:iCs w:val="0"/>
          <w:caps w:val="0"/>
          <w:color w:val="333333"/>
          <w:spacing w:val="0"/>
          <w:sz w:val="31"/>
          <w:szCs w:val="31"/>
          <w:shd w:val="clear" w:fill="FFFFFF"/>
        </w:rPr>
        <w:t>根据规定，2021年度，奉新县公安局政府信息公开，未收取任何费用。</w:t>
      </w:r>
    </w:p>
    <w:p>
      <w:pPr>
        <w:keepNext w:val="0"/>
        <w:keepLines w:val="0"/>
        <w:pageBreakBefore w:val="0"/>
        <w:kinsoku/>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helvetica">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B7CFD"/>
    <w:rsid w:val="03117EA5"/>
    <w:rsid w:val="13CB1A09"/>
    <w:rsid w:val="1B896716"/>
    <w:rsid w:val="290A79B8"/>
    <w:rsid w:val="38AA0FAE"/>
    <w:rsid w:val="55E27497"/>
    <w:rsid w:val="5E750D27"/>
    <w:rsid w:val="625470C1"/>
    <w:rsid w:val="7EE466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John</dc:creator>
  <cp:lastModifiedBy>John</cp:lastModifiedBy>
  <dcterms:modified xsi:type="dcterms:W3CDTF">2022-01-29T02:11:54Z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BC12A00A9E5040D78BC1E065BDA607DD</vt:lpwstr>
  </property>
</Properties>
</file>