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干洲镇2021年政府信息公开年度报告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根据《中华人民共和国政府信息公开条例》（以下简称《条例》），现向社会公布奉新县</w:t>
      </w:r>
      <w:r>
        <w:rPr>
          <w:rFonts w:hint="eastAsia" w:ascii="仿宋_GB2312" w:hAnsi="仿宋_GB2312" w:eastAsia="仿宋_GB2312" w:cs="仿宋_GB2312"/>
          <w:i w:val="0"/>
          <w:iCs w:val="0"/>
          <w:caps w:val="0"/>
          <w:color w:val="333333"/>
          <w:spacing w:val="0"/>
          <w:sz w:val="32"/>
          <w:szCs w:val="32"/>
          <w:shd w:val="clear" w:fill="FFFFFF"/>
          <w:lang w:eastAsia="zh-CN"/>
        </w:rPr>
        <w:t>干洲镇</w:t>
      </w:r>
      <w:r>
        <w:rPr>
          <w:rFonts w:hint="eastAsia" w:ascii="仿宋_GB2312" w:hAnsi="仿宋_GB2312" w:eastAsia="仿宋_GB2312" w:cs="仿宋_GB2312"/>
          <w:i w:val="0"/>
          <w:iCs w:val="0"/>
          <w:caps w:val="0"/>
          <w:color w:val="333333"/>
          <w:spacing w:val="0"/>
          <w:sz w:val="32"/>
          <w:szCs w:val="32"/>
          <w:shd w:val="clear" w:fill="FFFFFF"/>
        </w:rPr>
        <w:t>2021年政府信息公开工作年度报告。报告全文包括本年度政府信息公开工作总体基本情况、主动公开政府信息情况、依申请公开政府信息和不予公开政府信息的情况、因政府信息公开申请行政复议及提起行政诉讼的情况、政府信息公开工作存在的主要问题及改进措施和其他需要报告的事项等六大部分。本年度报告中所列数据的统计期限自2021年1月1日起至2021年12月31日止。报告通过奉新县政府信息公开门户网站形式向社会公布，</w:t>
      </w:r>
      <w:r>
        <w:rPr>
          <w:rFonts w:hint="eastAsia" w:ascii="仿宋_GB2312" w:hAnsi="仿宋_GB2312" w:eastAsia="仿宋_GB2312" w:cs="仿宋_GB2312"/>
          <w:b w:val="0"/>
          <w:bCs w:val="0"/>
          <w:sz w:val="32"/>
          <w:szCs w:val="32"/>
          <w:lang w:val="en-US" w:eastAsia="zh-CN"/>
        </w:rPr>
        <w:t>若有疑问或意见建议，</w:t>
      </w:r>
      <w:r>
        <w:rPr>
          <w:rFonts w:hint="eastAsia" w:ascii="仿宋_GB2312" w:hAnsi="仿宋_GB2312" w:eastAsia="仿宋_GB2312" w:cs="仿宋_GB2312"/>
          <w:i w:val="0"/>
          <w:iCs w:val="0"/>
          <w:caps w:val="0"/>
          <w:color w:val="333333"/>
          <w:spacing w:val="0"/>
          <w:sz w:val="32"/>
          <w:szCs w:val="32"/>
          <w:shd w:val="clear" w:fill="FFFFFF"/>
          <w:lang w:val="en-US" w:eastAsia="zh-CN"/>
        </w:rPr>
        <w:t>请与干洲镇党政办公室联系(地址：奉新县干洲镇任重路，电话：0795-4531010，邮编330703)。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b/>
          <w:bCs/>
          <w:i w:val="0"/>
          <w:iCs w:val="0"/>
          <w:caps w:val="0"/>
          <w:color w:val="333333"/>
          <w:spacing w:val="0"/>
          <w:sz w:val="32"/>
          <w:szCs w:val="32"/>
          <w:shd w:val="clear" w:fill="FFFFFF"/>
        </w:rPr>
        <w:t>一、总体情况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rPr>
        <w:t>（一）主动公开情况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2021年全年共上传69条信息，公开内容涉及镇政府基础信息、工作报告、政府重点工作、三公经费、社会保障、工作动态等方面。我镇百姓问政、县长信箱、12345便民热线共处理255起热线工单。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rPr>
        <w:t>（二）依申请公开情况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2021年县</w:t>
      </w:r>
      <w:r>
        <w:rPr>
          <w:rFonts w:hint="eastAsia" w:ascii="仿宋_GB2312" w:hAnsi="仿宋_GB2312" w:eastAsia="仿宋_GB2312" w:cs="仿宋_GB2312"/>
          <w:i w:val="0"/>
          <w:iCs w:val="0"/>
          <w:caps w:val="0"/>
          <w:color w:val="333333"/>
          <w:spacing w:val="0"/>
          <w:sz w:val="32"/>
          <w:szCs w:val="32"/>
          <w:shd w:val="clear" w:fill="FFFFFF"/>
          <w:lang w:eastAsia="zh-CN"/>
        </w:rPr>
        <w:t>干洲镇</w:t>
      </w:r>
      <w:r>
        <w:rPr>
          <w:rFonts w:hint="eastAsia" w:ascii="仿宋_GB2312" w:hAnsi="仿宋_GB2312" w:eastAsia="仿宋_GB2312" w:cs="仿宋_GB2312"/>
          <w:i w:val="0"/>
          <w:iCs w:val="0"/>
          <w:caps w:val="0"/>
          <w:color w:val="333333"/>
          <w:spacing w:val="0"/>
          <w:sz w:val="32"/>
          <w:szCs w:val="32"/>
          <w:shd w:val="clear" w:fill="FFFFFF"/>
        </w:rPr>
        <w:t>未收到政府信息公开申请，无依申请公开情况。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rPr>
        <w:t>（三）政府信息管理情况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建立主要领导统管、分管领导亲自抓的工作机制，明确各股室责任，确定专人负责本单位政府信息发布，确保内部协调有力，有序衔接；建立健全信息发布审查工作机制，规范公开内容。全面落实信息公开审查制度，从政治导向、语言文字、政策法律、公民隐私等各方面进行把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rPr>
        <w:t>（四）平台建设情况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按要求完成政府门户网站上公开栏目的信息更新，做好公开内容保障，定期排查已公开信息，补差补缺，对网站监测出的问题第一时间整改，确保网站发布信息的准确性和规范性。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rPr>
        <w:t>（五）政府信息公开监督保障情况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逐</w:t>
      </w:r>
      <w:r>
        <w:rPr>
          <w:rFonts w:hint="eastAsia" w:ascii="仿宋_GB2312" w:hAnsi="仿宋_GB2312" w:eastAsia="仿宋_GB2312" w:cs="仿宋_GB2312"/>
          <w:i w:val="0"/>
          <w:iCs w:val="0"/>
          <w:caps w:val="0"/>
          <w:color w:val="333333"/>
          <w:spacing w:val="0"/>
          <w:sz w:val="32"/>
          <w:szCs w:val="32"/>
          <w:shd w:val="clear" w:fill="FFFFFF"/>
          <w:lang w:eastAsia="zh-CN"/>
        </w:rPr>
        <w:t>步建立完善信息公开责任、发布审</w:t>
      </w:r>
      <w:r>
        <w:rPr>
          <w:rFonts w:hint="eastAsia" w:ascii="仿宋_GB2312" w:hAnsi="仿宋_GB2312" w:eastAsia="仿宋_GB2312" w:cs="仿宋_GB2312"/>
          <w:i w:val="0"/>
          <w:iCs w:val="0"/>
          <w:caps w:val="0"/>
          <w:color w:val="333333"/>
          <w:spacing w:val="0"/>
          <w:sz w:val="32"/>
          <w:szCs w:val="32"/>
          <w:shd w:val="clear" w:fill="FFFFFF"/>
        </w:rPr>
        <w:t>核、保密审查、公开考核、责任追究和社会评议等制度，促进政务信息公开工作走上制度化、规范化的轨道，确保了我镇政府信息公开工作的顺利开展。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shd w:val="clear" w:fill="FFFFFF"/>
        </w:rPr>
        <w:t>二、主动公开政府信息情况 </w:t>
      </w:r>
      <w:bookmarkStart w:id="0" w:name="_GoBack"/>
      <w:bookmarkEnd w:id="0"/>
    </w:p>
    <w:tbl>
      <w:tblPr>
        <w:tblStyle w:val="3"/>
        <w:tblW w:w="8140" w:type="dxa"/>
        <w:jc w:val="center"/>
        <w:tblLayout w:type="autofit"/>
        <w:tblCellMar>
          <w:top w:w="0" w:type="dxa"/>
          <w:left w:w="0" w:type="dxa"/>
          <w:bottom w:w="0" w:type="dxa"/>
          <w:right w:w="0" w:type="dxa"/>
        </w:tblCellMar>
      </w:tblPr>
      <w:tblGrid>
        <w:gridCol w:w="1630"/>
        <w:gridCol w:w="1744"/>
        <w:gridCol w:w="2106"/>
        <w:gridCol w:w="2660"/>
      </w:tblGrid>
      <w:tr>
        <w:tblPrEx>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第二十条第（一）项</w:t>
            </w:r>
          </w:p>
        </w:tc>
      </w:tr>
      <w:tr>
        <w:tblPrEx>
          <w:tblCellMar>
            <w:top w:w="0" w:type="dxa"/>
            <w:left w:w="0" w:type="dxa"/>
            <w:bottom w:w="0" w:type="dxa"/>
            <w:right w:w="0" w:type="dxa"/>
          </w:tblCellMar>
        </w:tblPrEx>
        <w:trPr>
          <w:trHeight w:val="882"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信息内容</w:t>
            </w:r>
          </w:p>
        </w:tc>
        <w:tc>
          <w:tcPr>
            <w:tcW w:w="1744"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本年制发件数</w:t>
            </w:r>
          </w:p>
        </w:tc>
        <w:tc>
          <w:tcPr>
            <w:tcW w:w="21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本年废止件数</w:t>
            </w:r>
          </w:p>
        </w:tc>
        <w:tc>
          <w:tcPr>
            <w:tcW w:w="266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现行有效件数</w:t>
            </w:r>
          </w:p>
        </w:tc>
      </w:tr>
      <w:tr>
        <w:tblPrEx>
          <w:tblCellMar>
            <w:top w:w="0" w:type="dxa"/>
            <w:left w:w="0" w:type="dxa"/>
            <w:bottom w:w="0" w:type="dxa"/>
            <w:right w:w="0" w:type="dxa"/>
          </w:tblCellMar>
        </w:tblPrEx>
        <w:trPr>
          <w:trHeight w:val="523"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规章</w:t>
            </w:r>
          </w:p>
        </w:tc>
        <w:tc>
          <w:tcPr>
            <w:tcW w:w="174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106"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66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r>
      <w:tr>
        <w:tblPrEx>
          <w:tblCellMar>
            <w:top w:w="0" w:type="dxa"/>
            <w:left w:w="0" w:type="dxa"/>
            <w:bottom w:w="0" w:type="dxa"/>
            <w:right w:w="0" w:type="dxa"/>
          </w:tblCellMar>
        </w:tblPrEx>
        <w:trPr>
          <w:trHeight w:val="471"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规范性文件</w:t>
            </w:r>
          </w:p>
        </w:tc>
        <w:tc>
          <w:tcPr>
            <w:tcW w:w="174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106"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66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r>
      <w:tr>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第二十条第（五）项</w:t>
            </w:r>
          </w:p>
        </w:tc>
      </w:tr>
      <w:tr>
        <w:tblPrEx>
          <w:tblCellMar>
            <w:top w:w="0" w:type="dxa"/>
            <w:left w:w="0" w:type="dxa"/>
            <w:bottom w:w="0" w:type="dxa"/>
            <w:right w:w="0" w:type="dxa"/>
          </w:tblCellMar>
        </w:tblPrEx>
        <w:trPr>
          <w:trHeight w:val="634"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信息内容</w:t>
            </w:r>
          </w:p>
        </w:tc>
        <w:tc>
          <w:tcPr>
            <w:tcW w:w="6510"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本年处理决定数量</w:t>
            </w:r>
          </w:p>
        </w:tc>
      </w:tr>
      <w:tr>
        <w:tblPrEx>
          <w:tblCellMar>
            <w:top w:w="0" w:type="dxa"/>
            <w:left w:w="0" w:type="dxa"/>
            <w:bottom w:w="0" w:type="dxa"/>
            <w:right w:w="0" w:type="dxa"/>
          </w:tblCellMar>
        </w:tblPrEx>
        <w:trPr>
          <w:trHeight w:val="528"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行政许可</w:t>
            </w:r>
          </w:p>
        </w:tc>
        <w:tc>
          <w:tcPr>
            <w:tcW w:w="6510"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0" w:type="dxa"/>
            <w:bottom w:w="0" w:type="dxa"/>
            <w:right w:w="0" w:type="dxa"/>
          </w:tblCellMar>
        </w:tblPrEx>
        <w:trPr>
          <w:trHeight w:val="550" w:hRule="atLeast"/>
          <w:jc w:val="center"/>
        </w:trPr>
        <w:tc>
          <w:tcPr>
            <w:tcW w:w="8140" w:type="dxa"/>
            <w:gridSpan w:val="4"/>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hAnsi="宋体" w:eastAsia="仿宋_GB2312" w:cs="宋体"/>
                <w:kern w:val="0"/>
                <w:sz w:val="24"/>
                <w:szCs w:val="24"/>
                <w:lang w:val="en-US" w:eastAsia="zh-CN"/>
              </w:rPr>
            </w:pPr>
            <w:r>
              <w:rPr>
                <w:rFonts w:hint="eastAsia" w:ascii="宋体" w:hAnsi="宋体" w:eastAsia="宋体" w:cs="宋体"/>
                <w:b/>
                <w:bCs/>
                <w:i w:val="0"/>
                <w:iCs w:val="0"/>
                <w:color w:val="333333"/>
                <w:kern w:val="0"/>
                <w:sz w:val="18"/>
                <w:szCs w:val="18"/>
                <w:u w:val="none"/>
                <w:lang w:val="en-US" w:eastAsia="zh-CN" w:bidi="ar"/>
              </w:rPr>
              <w:t>第二十条第（六）项</w:t>
            </w:r>
          </w:p>
        </w:tc>
      </w:tr>
      <w:tr>
        <w:tblPrEx>
          <w:tblCellMar>
            <w:top w:w="0" w:type="dxa"/>
            <w:left w:w="0" w:type="dxa"/>
            <w:bottom w:w="0" w:type="dxa"/>
            <w:right w:w="0" w:type="dxa"/>
          </w:tblCellMar>
        </w:tblPrEx>
        <w:trPr>
          <w:trHeight w:val="406" w:hRule="atLeast"/>
          <w:jc w:val="center"/>
        </w:trPr>
        <w:tc>
          <w:tcPr>
            <w:tcW w:w="1630" w:type="dxa"/>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信息内容</w:t>
            </w:r>
          </w:p>
        </w:tc>
        <w:tc>
          <w:tcPr>
            <w:tcW w:w="6510" w:type="dxa"/>
            <w:gridSpan w:val="3"/>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333333"/>
                <w:kern w:val="0"/>
                <w:sz w:val="18"/>
                <w:szCs w:val="18"/>
                <w:u w:val="none"/>
                <w:lang w:val="en-US" w:eastAsia="zh-CN" w:bidi="ar"/>
              </w:rPr>
              <w:t>本年处理决定数量</w:t>
            </w:r>
          </w:p>
        </w:tc>
      </w:tr>
      <w:tr>
        <w:tblPrEx>
          <w:tblCellMar>
            <w:top w:w="0" w:type="dxa"/>
            <w:left w:w="0" w:type="dxa"/>
            <w:bottom w:w="0" w:type="dxa"/>
            <w:right w:w="0" w:type="dxa"/>
          </w:tblCellMar>
        </w:tblPrEx>
        <w:trPr>
          <w:trHeight w:val="634"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行政处罚</w:t>
            </w:r>
          </w:p>
        </w:tc>
        <w:tc>
          <w:tcPr>
            <w:tcW w:w="6510"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0" w:type="dxa"/>
            <w:bottom w:w="0" w:type="dxa"/>
            <w:right w:w="0" w:type="dxa"/>
          </w:tblCellMar>
        </w:tblPrEx>
        <w:trPr>
          <w:trHeight w:val="430"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行政强制</w:t>
            </w:r>
          </w:p>
        </w:tc>
        <w:tc>
          <w:tcPr>
            <w:tcW w:w="6510"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CellMar>
            <w:top w:w="0" w:type="dxa"/>
            <w:left w:w="0" w:type="dxa"/>
            <w:bottom w:w="0" w:type="dxa"/>
            <w:right w:w="0" w:type="dxa"/>
          </w:tblCellMar>
        </w:tblPrEx>
        <w:trPr>
          <w:trHeight w:val="409" w:hRule="atLeast"/>
          <w:jc w:val="center"/>
        </w:trPr>
        <w:tc>
          <w:tcPr>
            <w:tcW w:w="8140" w:type="dxa"/>
            <w:gridSpan w:val="4"/>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hAnsi="宋体" w:eastAsia="仿宋_GB2312" w:cs="宋体"/>
                <w:kern w:val="0"/>
                <w:sz w:val="24"/>
                <w:szCs w:val="24"/>
                <w:lang w:val="en-US" w:eastAsia="zh-CN"/>
              </w:rPr>
            </w:pPr>
            <w:r>
              <w:rPr>
                <w:rFonts w:hint="eastAsia" w:ascii="宋体" w:hAnsi="宋体" w:eastAsia="宋体" w:cs="宋体"/>
                <w:b/>
                <w:bCs/>
                <w:i w:val="0"/>
                <w:iCs w:val="0"/>
                <w:color w:val="333333"/>
                <w:kern w:val="0"/>
                <w:sz w:val="18"/>
                <w:szCs w:val="18"/>
                <w:u w:val="none"/>
                <w:lang w:val="en-US" w:eastAsia="zh-CN" w:bidi="ar"/>
              </w:rPr>
              <w:t>第二十条第（八）项</w:t>
            </w:r>
          </w:p>
        </w:tc>
      </w:tr>
      <w:tr>
        <w:tblPrEx>
          <w:tblCellMar>
            <w:top w:w="0" w:type="dxa"/>
            <w:left w:w="0" w:type="dxa"/>
            <w:bottom w:w="0" w:type="dxa"/>
            <w:right w:w="0" w:type="dxa"/>
          </w:tblCellMar>
        </w:tblPrEx>
        <w:trPr>
          <w:trHeight w:val="474" w:hRule="atLeast"/>
          <w:jc w:val="center"/>
        </w:trPr>
        <w:tc>
          <w:tcPr>
            <w:tcW w:w="1630" w:type="dxa"/>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信息内容</w:t>
            </w:r>
          </w:p>
        </w:tc>
        <w:tc>
          <w:tcPr>
            <w:tcW w:w="6510" w:type="dxa"/>
            <w:gridSpan w:val="3"/>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333333"/>
                <w:kern w:val="0"/>
                <w:sz w:val="18"/>
                <w:szCs w:val="18"/>
                <w:u w:val="none"/>
                <w:lang w:val="en-US" w:eastAsia="zh-CN" w:bidi="ar"/>
              </w:rPr>
              <w:t>本年收费金额（单位：万元）</w:t>
            </w:r>
          </w:p>
        </w:tc>
      </w:tr>
      <w:tr>
        <w:tblPrEx>
          <w:tblCellMar>
            <w:top w:w="0" w:type="dxa"/>
            <w:left w:w="0" w:type="dxa"/>
            <w:bottom w:w="0" w:type="dxa"/>
            <w:right w:w="0" w:type="dxa"/>
          </w:tblCellMar>
        </w:tblPrEx>
        <w:trPr>
          <w:trHeight w:val="270"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行政事业性收费</w:t>
            </w:r>
          </w:p>
        </w:tc>
        <w:tc>
          <w:tcPr>
            <w:tcW w:w="6510"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r>
      <w:tr>
        <w:tblPrEx>
          <w:tblCellMar>
            <w:top w:w="0" w:type="dxa"/>
            <w:left w:w="0" w:type="dxa"/>
            <w:bottom w:w="0" w:type="dxa"/>
            <w:right w:w="0" w:type="dxa"/>
          </w:tblCellMar>
        </w:tblPrEx>
        <w:trPr>
          <w:trHeight w:val="551" w:hRule="atLeast"/>
          <w:jc w:val="center"/>
        </w:trPr>
        <w:tc>
          <w:tcPr>
            <w:tcW w:w="8140" w:type="dxa"/>
            <w:gridSpan w:val="4"/>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hint="eastAsia" w:ascii="仿宋_GB2312" w:hAnsi="宋体" w:eastAsia="仿宋_GB2312" w:cs="宋体"/>
                <w:kern w:val="0"/>
                <w:sz w:val="24"/>
                <w:szCs w:val="24"/>
                <w:lang w:val="en-US" w:eastAsia="zh-CN"/>
              </w:rPr>
            </w:pPr>
            <w:r>
              <w:rPr>
                <w:rFonts w:hint="eastAsia" w:ascii="宋体" w:hAnsi="宋体" w:eastAsia="宋体" w:cs="宋体"/>
                <w:b/>
                <w:bCs/>
                <w:i w:val="0"/>
                <w:iCs w:val="0"/>
                <w:color w:val="333333"/>
                <w:kern w:val="0"/>
                <w:sz w:val="18"/>
                <w:szCs w:val="18"/>
                <w:u w:val="none"/>
                <w:lang w:val="en-US" w:eastAsia="zh-CN" w:bidi="ar"/>
              </w:rPr>
              <w:t>第二十条第（一）项</w:t>
            </w:r>
          </w:p>
        </w:tc>
      </w:tr>
      <w:tr>
        <w:tblPrEx>
          <w:tblCellMar>
            <w:top w:w="0" w:type="dxa"/>
            <w:left w:w="0" w:type="dxa"/>
            <w:bottom w:w="0" w:type="dxa"/>
            <w:right w:w="0" w:type="dxa"/>
          </w:tblCellMar>
        </w:tblPrEx>
        <w:trPr>
          <w:trHeight w:val="476" w:hRule="atLeast"/>
          <w:jc w:val="center"/>
        </w:trPr>
        <w:tc>
          <w:tcPr>
            <w:tcW w:w="1630" w:type="dxa"/>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信息内容</w:t>
            </w:r>
          </w:p>
        </w:tc>
        <w:tc>
          <w:tcPr>
            <w:tcW w:w="1744" w:type="dxa"/>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333333"/>
                <w:kern w:val="0"/>
                <w:sz w:val="18"/>
                <w:szCs w:val="18"/>
                <w:u w:val="none"/>
                <w:lang w:val="en-US" w:eastAsia="zh-CN" w:bidi="ar"/>
              </w:rPr>
              <w:t>本年制发件数</w:t>
            </w:r>
          </w:p>
        </w:tc>
        <w:tc>
          <w:tcPr>
            <w:tcW w:w="2106" w:type="dxa"/>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333333"/>
                <w:kern w:val="0"/>
                <w:sz w:val="18"/>
                <w:szCs w:val="18"/>
                <w:u w:val="none"/>
                <w:lang w:val="en-US" w:eastAsia="zh-CN" w:bidi="ar"/>
              </w:rPr>
              <w:t>本年废止件数</w:t>
            </w:r>
          </w:p>
        </w:tc>
        <w:tc>
          <w:tcPr>
            <w:tcW w:w="2660" w:type="dxa"/>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333333"/>
                <w:kern w:val="0"/>
                <w:sz w:val="18"/>
                <w:szCs w:val="18"/>
                <w:u w:val="none"/>
                <w:lang w:val="en-US" w:eastAsia="zh-CN" w:bidi="ar"/>
              </w:rPr>
              <w:t>现行有效件数</w:t>
            </w:r>
          </w:p>
        </w:tc>
      </w:tr>
      <w:tr>
        <w:tblPrEx>
          <w:tblCellMar>
            <w:top w:w="0" w:type="dxa"/>
            <w:left w:w="0" w:type="dxa"/>
            <w:bottom w:w="0" w:type="dxa"/>
            <w:right w:w="0" w:type="dxa"/>
          </w:tblCellMar>
        </w:tblPrEx>
        <w:trPr>
          <w:trHeight w:val="585"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规章</w:t>
            </w:r>
          </w:p>
        </w:tc>
        <w:tc>
          <w:tcPr>
            <w:tcW w:w="174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106" w:type="dxa"/>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jc w:val="center"/>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660" w:type="dxa"/>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jc w:val="center"/>
              <w:rPr>
                <w:rFonts w:hint="eastAsia" w:eastAsia="宋体"/>
                <w:lang w:val="en-US" w:eastAsia="zh-CN"/>
              </w:rPr>
            </w:pPr>
            <w:r>
              <w:rPr>
                <w:rFonts w:hint="eastAsia"/>
                <w:lang w:val="en-US" w:eastAsia="zh-CN"/>
              </w:rPr>
              <w:t>0</w:t>
            </w:r>
          </w:p>
        </w:tc>
      </w:tr>
      <w:tr>
        <w:tblPrEx>
          <w:tblCellMar>
            <w:top w:w="0" w:type="dxa"/>
            <w:left w:w="0" w:type="dxa"/>
            <w:bottom w:w="0" w:type="dxa"/>
            <w:right w:w="0" w:type="dxa"/>
          </w:tblCellMar>
        </w:tblPrEx>
        <w:trPr>
          <w:trHeight w:val="539" w:hRule="atLeast"/>
          <w:jc w:val="center"/>
        </w:trPr>
        <w:tc>
          <w:tcPr>
            <w:tcW w:w="1630"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b/>
                <w:bCs/>
                <w:i w:val="0"/>
                <w:iCs w:val="0"/>
                <w:color w:val="333333"/>
                <w:kern w:val="0"/>
                <w:sz w:val="18"/>
                <w:szCs w:val="18"/>
                <w:u w:val="none"/>
                <w:lang w:val="en-US" w:eastAsia="zh-CN" w:bidi="ar"/>
              </w:rPr>
              <w:t>规范性文件</w:t>
            </w:r>
          </w:p>
        </w:tc>
        <w:tc>
          <w:tcPr>
            <w:tcW w:w="174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106" w:type="dxa"/>
            <w:tcBorders>
              <w:top w:val="nil"/>
              <w:left w:val="nil"/>
              <w:bottom w:val="single" w:color="auto" w:sz="8" w:space="0"/>
              <w:right w:val="single" w:color="000000" w:sz="8" w:space="0"/>
            </w:tcBorders>
            <w:noWrap/>
            <w:tcMar>
              <w:top w:w="0" w:type="dxa"/>
              <w:left w:w="108" w:type="dxa"/>
              <w:bottom w:w="0" w:type="dxa"/>
              <w:right w:w="108" w:type="dxa"/>
            </w:tcMar>
            <w:vAlign w:val="center"/>
          </w:tcPr>
          <w:p>
            <w:pPr>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0</w:t>
            </w:r>
          </w:p>
        </w:tc>
        <w:tc>
          <w:tcPr>
            <w:tcW w:w="2660" w:type="dxa"/>
            <w:tcBorders>
              <w:top w:val="nil"/>
              <w:left w:val="nil"/>
              <w:bottom w:val="single" w:color="auto" w:sz="8" w:space="0"/>
              <w:right w:val="single" w:color="000000" w:sz="8" w:space="0"/>
            </w:tcBorders>
            <w:noWrap/>
            <w:tcMar>
              <w:top w:w="0" w:type="dxa"/>
              <w:left w:w="108" w:type="dxa"/>
              <w:bottom w:w="0" w:type="dxa"/>
              <w:right w:w="108" w:type="dxa"/>
            </w:tcMar>
            <w:vAlign w:val="center"/>
          </w:tcPr>
          <w:p>
            <w:pPr>
              <w:jc w:val="center"/>
              <w:rPr>
                <w:rFonts w:hint="eastAsia" w:eastAsia="宋体"/>
                <w:lang w:val="en-US" w:eastAsia="zh-CN"/>
              </w:rPr>
            </w:pPr>
            <w:r>
              <w:rPr>
                <w:rFonts w:hint="eastAsia"/>
                <w:lang w:val="en-US" w:eastAsia="zh-CN"/>
              </w:rPr>
              <w:t>0</w:t>
            </w:r>
          </w:p>
        </w:tc>
      </w:tr>
    </w:tbl>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收到和处理政府信息公开申请情况</w:t>
      </w:r>
    </w:p>
    <w:tbl>
      <w:tblPr>
        <w:tblStyle w:val="3"/>
        <w:tblW w:w="8419" w:type="dxa"/>
        <w:tblCellSpacing w:w="0" w:type="dxa"/>
        <w:tblInd w:w="12"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Layout w:type="autofit"/>
        <w:tblCellMar>
          <w:top w:w="0" w:type="dxa"/>
          <w:left w:w="0" w:type="dxa"/>
          <w:bottom w:w="0" w:type="dxa"/>
          <w:right w:w="0" w:type="dxa"/>
        </w:tblCellMar>
      </w:tblPr>
      <w:tblGrid>
        <w:gridCol w:w="659"/>
        <w:gridCol w:w="816"/>
        <w:gridCol w:w="2431"/>
        <w:gridCol w:w="582"/>
        <w:gridCol w:w="630"/>
        <w:gridCol w:w="594"/>
        <w:gridCol w:w="630"/>
        <w:gridCol w:w="751"/>
        <w:gridCol w:w="596"/>
        <w:gridCol w:w="730"/>
      </w:tblGrid>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338" w:hRule="atLeast"/>
          <w:tblCellSpacing w:w="0" w:type="dxa"/>
        </w:trPr>
        <w:tc>
          <w:tcPr>
            <w:tcW w:w="3906" w:type="dxa"/>
            <w:gridSpan w:val="3"/>
            <w:vMerge w:val="restart"/>
            <w:tcBorders>
              <w:tl2br w:val="nil"/>
              <w:tr2bl w:val="nil"/>
            </w:tcBorders>
            <w:shd w:val="clear" w:color="auto" w:fill="FFFFFF"/>
            <w:noWrap w:val="0"/>
            <w:tcMar>
              <w:left w:w="105" w:type="dxa"/>
              <w:right w:w="105"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（本列数据的勾稽关系为：第一项加第二项之和，等于第三项加第四项之和）</w:t>
            </w:r>
          </w:p>
        </w:tc>
        <w:tc>
          <w:tcPr>
            <w:tcW w:w="4513" w:type="dxa"/>
            <w:gridSpan w:val="7"/>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申请人情况</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338" w:hRule="atLeast"/>
          <w:tblCellSpacing w:w="0" w:type="dxa"/>
        </w:trPr>
        <w:tc>
          <w:tcPr>
            <w:tcW w:w="3906" w:type="dxa"/>
            <w:gridSpan w:val="3"/>
            <w:vMerge w:val="continue"/>
            <w:tcBorders>
              <w:tl2br w:val="nil"/>
              <w:tr2bl w:val="nil"/>
            </w:tcBorders>
            <w:shd w:val="clear" w:color="auto" w:fill="FFFFFF"/>
            <w:noWrap w:val="0"/>
            <w:tcMar>
              <w:left w:w="105" w:type="dxa"/>
              <w:right w:w="105"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582"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自然人</w:t>
            </w:r>
          </w:p>
        </w:tc>
        <w:tc>
          <w:tcPr>
            <w:tcW w:w="3201" w:type="dxa"/>
            <w:gridSpan w:val="5"/>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法人或其他组织</w:t>
            </w:r>
          </w:p>
        </w:tc>
        <w:tc>
          <w:tcPr>
            <w:tcW w:w="730"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总计</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953" w:hRule="atLeast"/>
          <w:tblCellSpacing w:w="0" w:type="dxa"/>
        </w:trPr>
        <w:tc>
          <w:tcPr>
            <w:tcW w:w="3906" w:type="dxa"/>
            <w:gridSpan w:val="3"/>
            <w:vMerge w:val="continue"/>
            <w:tcBorders>
              <w:tl2br w:val="nil"/>
              <w:tr2bl w:val="nil"/>
            </w:tcBorders>
            <w:shd w:val="clear" w:color="auto" w:fill="FFFFFF"/>
            <w:noWrap w:val="0"/>
            <w:tcMar>
              <w:left w:w="105" w:type="dxa"/>
              <w:right w:w="105"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582"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630"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商业</w:t>
            </w:r>
          </w:p>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企业</w:t>
            </w:r>
          </w:p>
        </w:tc>
        <w:tc>
          <w:tcPr>
            <w:tcW w:w="594"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科研</w:t>
            </w:r>
          </w:p>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机构</w:t>
            </w:r>
          </w:p>
        </w:tc>
        <w:tc>
          <w:tcPr>
            <w:tcW w:w="630"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社会公益组织</w:t>
            </w:r>
          </w:p>
        </w:tc>
        <w:tc>
          <w:tcPr>
            <w:tcW w:w="751"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法律服务机构</w:t>
            </w:r>
          </w:p>
        </w:tc>
        <w:tc>
          <w:tcPr>
            <w:tcW w:w="596"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其他</w:t>
            </w:r>
          </w:p>
        </w:tc>
        <w:tc>
          <w:tcPr>
            <w:tcW w:w="730"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3906" w:type="dxa"/>
            <w:gridSpan w:val="3"/>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一、本年新收政府信息公开申请数量</w:t>
            </w:r>
          </w:p>
        </w:tc>
        <w:tc>
          <w:tcPr>
            <w:tcW w:w="582" w:type="dxa"/>
            <w:tcBorders>
              <w:tl2br w:val="nil"/>
              <w:tr2bl w:val="nil"/>
            </w:tcBorders>
            <w:shd w:val="clear" w:color="auto" w:fill="FFFFFF"/>
            <w:noWrap w:val="0"/>
            <w:tcMar>
              <w:left w:w="60" w:type="dxa"/>
              <w:right w:w="60" w:type="dxa"/>
            </w:tcMar>
            <w:vAlign w:val="center"/>
          </w:tcPr>
          <w:p>
            <w:pPr>
              <w:jc w:val="center"/>
              <w:rPr>
                <w:rFonts w:hint="default"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3906" w:type="dxa"/>
            <w:gridSpan w:val="3"/>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二、上年结转政府信息公开申请数量</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46" w:hRule="atLeast"/>
          <w:tblCellSpacing w:w="0" w:type="dxa"/>
        </w:trPr>
        <w:tc>
          <w:tcPr>
            <w:tcW w:w="659"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三、本年度办理结果</w:t>
            </w:r>
          </w:p>
        </w:tc>
        <w:tc>
          <w:tcPr>
            <w:tcW w:w="3247" w:type="dxa"/>
            <w:gridSpan w:val="2"/>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（一）予以公开</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default"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default"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3247" w:type="dxa"/>
            <w:gridSpan w:val="2"/>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（二）部分公开（区分处理的，只计这一情形，不计其他情形）</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46"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（三）不予公开</w:t>
            </w: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1.属于国家秘密</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2.其他法律行政法规禁止公开</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3.危及“三安全一稳定”</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default"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4.保护第三方合法权益</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5.属于三类内部事务信息</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6.属于四类过程性信息</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7.属于行政执法案卷</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8.属于行政查询事项</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（四）无法提供</w:t>
            </w: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1.本机关不掌握相关政府信息</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2.没有现成信息需要另行制作</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3.补正后申请内容仍不明确</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（五）不予处理</w:t>
            </w: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1.信访举报投诉类申请</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2.重复申请</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3.要求提供公开出版物</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top"/>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4.无正当理由大量反复申请</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shd w:val="clear" w:color="auto" w:fill="FFFFFF"/>
          <w:tblCellMar>
            <w:top w:w="0" w:type="dxa"/>
            <w:left w:w="0" w:type="dxa"/>
            <w:bottom w:w="0" w:type="dxa"/>
            <w:right w:w="0" w:type="dxa"/>
          </w:tblCellMar>
        </w:tblPrEx>
        <w:trPr>
          <w:trHeight w:val="939"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5.要求行政机关确认或重新出具已获取信息</w:t>
            </w:r>
          </w:p>
        </w:tc>
        <w:tc>
          <w:tcPr>
            <w:tcW w:w="582"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126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restart"/>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（六）其他处理</w:t>
            </w:r>
          </w:p>
        </w:tc>
        <w:tc>
          <w:tcPr>
            <w:tcW w:w="2431"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1.申请人无正当理由逾期不补正、行政机关不再处理其政府信息公开申请</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126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2.申请人逾期未按收费通知要求缴纳费用、行政机关不再处理其政府信息公开申请</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646"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816"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2431" w:type="dxa"/>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3.其他</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631" w:hRule="atLeast"/>
          <w:tblCellSpacing w:w="0" w:type="dxa"/>
        </w:trPr>
        <w:tc>
          <w:tcPr>
            <w:tcW w:w="659" w:type="dxa"/>
            <w:vMerge w:val="continue"/>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p>
        </w:tc>
        <w:tc>
          <w:tcPr>
            <w:tcW w:w="3247" w:type="dxa"/>
            <w:gridSpan w:val="2"/>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（七）总计</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0" w:type="dxa"/>
            <w:bottom w:w="0" w:type="dxa"/>
            <w:right w:w="0" w:type="dxa"/>
          </w:tblCellMar>
        </w:tblPrEx>
        <w:trPr>
          <w:trHeight w:val="631" w:hRule="atLeast"/>
          <w:tblCellSpacing w:w="0" w:type="dxa"/>
        </w:trPr>
        <w:tc>
          <w:tcPr>
            <w:tcW w:w="3906" w:type="dxa"/>
            <w:gridSpan w:val="3"/>
            <w:tcBorders>
              <w:tl2br w:val="nil"/>
              <w:tr2bl w:val="nil"/>
            </w:tcBorders>
            <w:shd w:val="clear" w:color="auto" w:fill="FFFFFF"/>
            <w:noWrap w:val="0"/>
            <w:tcMar>
              <w:left w:w="60" w:type="dxa"/>
              <w:right w:w="60" w:type="dxa"/>
            </w:tcMar>
            <w:vAlign w:val="center"/>
          </w:tcPr>
          <w:p>
            <w:pPr>
              <w:rPr>
                <w:rFonts w:hint="eastAsia" w:ascii="仿宋_GB2312" w:hAnsi="仿宋_GB2312" w:eastAsia="仿宋_GB2312" w:cs="仿宋_GB2312"/>
                <w:color w:val="000000" w:themeColor="text1"/>
                <w:szCs w:val="21"/>
                <w:shd w:val="clear" w:color="auto" w:fill="auto"/>
                <w14:textFill>
                  <w14:solidFill>
                    <w14:schemeClr w14:val="tx1"/>
                  </w14:solidFill>
                </w14:textFill>
              </w:rPr>
            </w:pPr>
            <w:r>
              <w:rPr>
                <w:rFonts w:hint="eastAsia" w:ascii="仿宋_GB2312" w:hAnsi="仿宋_GB2312" w:eastAsia="仿宋_GB2312" w:cs="仿宋_GB2312"/>
                <w:color w:val="000000" w:themeColor="text1"/>
                <w:szCs w:val="21"/>
                <w:shd w:val="clear" w:color="auto" w:fill="auto"/>
                <w14:textFill>
                  <w14:solidFill>
                    <w14:schemeClr w14:val="tx1"/>
                  </w14:solidFill>
                </w14:textFill>
              </w:rPr>
              <w:t>四、结转下年度继续办理</w:t>
            </w:r>
          </w:p>
        </w:tc>
        <w:tc>
          <w:tcPr>
            <w:tcW w:w="582"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4"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630"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51"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596" w:type="dxa"/>
            <w:tcBorders>
              <w:tl2br w:val="nil"/>
              <w:tr2bl w:val="nil"/>
            </w:tcBorders>
            <w:shd w:val="clear" w:color="auto" w:fill="FFFFFF"/>
            <w:noWrap w:val="0"/>
            <w:tcMar>
              <w:left w:w="60" w:type="dxa"/>
              <w:right w:w="60" w:type="dxa"/>
            </w:tcMar>
            <w:vAlign w:val="center"/>
          </w:tcPr>
          <w:p>
            <w:pPr>
              <w:jc w:val="cente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c>
          <w:tcPr>
            <w:tcW w:w="730" w:type="dxa"/>
            <w:tcBorders>
              <w:tl2br w:val="nil"/>
              <w:tr2bl w:val="nil"/>
            </w:tcBorders>
            <w:shd w:val="clear" w:color="auto" w:fill="FFFFFF"/>
            <w:noWrap w:val="0"/>
            <w:tcMar>
              <w:left w:w="60" w:type="dxa"/>
              <w:right w:w="60" w:type="dxa"/>
            </w:tcMar>
            <w:vAlign w:val="top"/>
          </w:tcPr>
          <w:p>
            <w:pPr>
              <w:jc w:val="center"/>
              <w:rPr>
                <w:rFonts w:hint="default" w:ascii="仿宋_GB2312" w:hAnsi="仿宋_GB2312" w:eastAsia="仿宋_GB2312" w:cs="仿宋_GB2312"/>
                <w:color w:val="000000" w:themeColor="text1"/>
                <w:szCs w:val="21"/>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Cs w:val="21"/>
                <w:shd w:val="clear" w:color="auto" w:fill="auto"/>
                <w:lang w:val="en-US" w:eastAsia="zh-CN"/>
                <w14:textFill>
                  <w14:solidFill>
                    <w14:schemeClr w14:val="tx1"/>
                  </w14:solidFill>
                </w14:textFill>
              </w:rPr>
              <w:t>0</w:t>
            </w:r>
          </w:p>
        </w:tc>
      </w:tr>
    </w:tbl>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仿宋_GB2312" w:hAnsi="仿宋_GB2312" w:eastAsia="仿宋_GB2312" w:cs="仿宋_GB2312"/>
          <w:i w:val="0"/>
          <w:iCs w:val="0"/>
          <w:caps w:val="0"/>
          <w:color w:val="333333"/>
          <w:spacing w:val="0"/>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shd w:val="clear" w:fill="FFFFFF"/>
        </w:rPr>
        <w:t>四、政府信息公开行政复议、行政诉讼情况</w:t>
      </w:r>
    </w:p>
    <w:tbl>
      <w:tblPr>
        <w:tblStyle w:val="3"/>
        <w:tblW w:w="8479" w:type="dxa"/>
        <w:jc w:val="center"/>
        <w:tblCellSpacing w:w="0" w:type="dxa"/>
        <w:shd w:val="clear" w:color="auto" w:fill="FFFFFF"/>
        <w:tblLayout w:type="autofit"/>
        <w:tblCellMar>
          <w:top w:w="0" w:type="dxa"/>
          <w:left w:w="0" w:type="dxa"/>
          <w:bottom w:w="0" w:type="dxa"/>
          <w:right w:w="0" w:type="dxa"/>
        </w:tblCellMar>
      </w:tblPr>
      <w:tblGrid>
        <w:gridCol w:w="564"/>
        <w:gridCol w:w="564"/>
        <w:gridCol w:w="564"/>
        <w:gridCol w:w="564"/>
        <w:gridCol w:w="570"/>
        <w:gridCol w:w="564"/>
        <w:gridCol w:w="564"/>
        <w:gridCol w:w="564"/>
        <w:gridCol w:w="564"/>
        <w:gridCol w:w="570"/>
        <w:gridCol w:w="564"/>
        <w:gridCol w:w="564"/>
        <w:gridCol w:w="564"/>
        <w:gridCol w:w="564"/>
        <w:gridCol w:w="571"/>
      </w:tblGrid>
      <w:tr>
        <w:tblPrEx>
          <w:shd w:val="clear" w:color="auto" w:fill="FFFFFF"/>
          <w:tblCellMar>
            <w:top w:w="0" w:type="dxa"/>
            <w:left w:w="0" w:type="dxa"/>
            <w:bottom w:w="0" w:type="dxa"/>
            <w:right w:w="0" w:type="dxa"/>
          </w:tblCellMar>
        </w:tblPrEx>
        <w:trPr>
          <w:trHeight w:val="355" w:hRule="atLeast"/>
          <w:tblCellSpacing w:w="0" w:type="dxa"/>
          <w:jc w:val="center"/>
        </w:trPr>
        <w:tc>
          <w:tcPr>
            <w:tcW w:w="2826"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行政复议</w:t>
            </w:r>
          </w:p>
        </w:tc>
        <w:tc>
          <w:tcPr>
            <w:tcW w:w="5653" w:type="dxa"/>
            <w:gridSpan w:val="10"/>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行政诉讼</w:t>
            </w:r>
          </w:p>
        </w:tc>
      </w:tr>
      <w:tr>
        <w:tblPrEx>
          <w:shd w:val="clear" w:color="auto" w:fill="FFFFFF"/>
          <w:tblCellMar>
            <w:top w:w="0" w:type="dxa"/>
            <w:left w:w="0" w:type="dxa"/>
            <w:bottom w:w="0" w:type="dxa"/>
            <w:right w:w="0" w:type="dxa"/>
          </w:tblCellMar>
        </w:tblPrEx>
        <w:trPr>
          <w:trHeight w:val="355" w:hRule="atLeast"/>
          <w:tblCellSpacing w:w="0" w:type="dxa"/>
          <w:jc w:val="center"/>
        </w:trPr>
        <w:tc>
          <w:tcPr>
            <w:tcW w:w="564" w:type="dxa"/>
            <w:vMerge w:val="restart"/>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结果维持</w:t>
            </w:r>
          </w:p>
        </w:tc>
        <w:tc>
          <w:tcPr>
            <w:tcW w:w="564" w:type="dxa"/>
            <w:vMerge w:val="restart"/>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结果</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纠正</w:t>
            </w:r>
          </w:p>
        </w:tc>
        <w:tc>
          <w:tcPr>
            <w:tcW w:w="564"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其他</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结果</w:t>
            </w:r>
          </w:p>
        </w:tc>
        <w:tc>
          <w:tcPr>
            <w:tcW w:w="564"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尚未</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审结</w:t>
            </w:r>
          </w:p>
        </w:tc>
        <w:tc>
          <w:tcPr>
            <w:tcW w:w="570"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总计</w:t>
            </w:r>
          </w:p>
        </w:tc>
        <w:tc>
          <w:tcPr>
            <w:tcW w:w="2826"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未经复议直接起诉</w:t>
            </w:r>
          </w:p>
        </w:tc>
        <w:tc>
          <w:tcPr>
            <w:tcW w:w="2827"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复议后起诉</w:t>
            </w:r>
          </w:p>
        </w:tc>
      </w:tr>
      <w:tr>
        <w:tblPrEx>
          <w:tblCellMar>
            <w:top w:w="0" w:type="dxa"/>
            <w:left w:w="0" w:type="dxa"/>
            <w:bottom w:w="0" w:type="dxa"/>
            <w:right w:w="0" w:type="dxa"/>
          </w:tblCellMar>
        </w:tblPrEx>
        <w:trPr>
          <w:trHeight w:val="1244" w:hRule="atLeast"/>
          <w:tblCellSpacing w:w="0" w:type="dxa"/>
          <w:jc w:val="center"/>
        </w:trPr>
        <w:tc>
          <w:tcPr>
            <w:tcW w:w="564" w:type="dxa"/>
            <w:vMerge w:val="continue"/>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p>
        </w:tc>
        <w:tc>
          <w:tcPr>
            <w:tcW w:w="564" w:type="dxa"/>
            <w:vMerge w:val="continue"/>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p>
        </w:tc>
        <w:tc>
          <w:tcPr>
            <w:tcW w:w="564"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p>
        </w:tc>
        <w:tc>
          <w:tcPr>
            <w:tcW w:w="564"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p>
        </w:tc>
        <w:tc>
          <w:tcPr>
            <w:tcW w:w="57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结果</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维持</w:t>
            </w: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结果</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纠正</w:t>
            </w:r>
          </w:p>
        </w:tc>
        <w:tc>
          <w:tcPr>
            <w:tcW w:w="5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其他</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结果</w:t>
            </w:r>
          </w:p>
        </w:tc>
        <w:tc>
          <w:tcPr>
            <w:tcW w:w="5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尚未</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审结</w:t>
            </w:r>
          </w:p>
        </w:tc>
        <w:tc>
          <w:tcPr>
            <w:tcW w:w="570"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总计</w:t>
            </w:r>
          </w:p>
        </w:tc>
        <w:tc>
          <w:tcPr>
            <w:tcW w:w="5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结果</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维持</w:t>
            </w:r>
          </w:p>
        </w:tc>
        <w:tc>
          <w:tcPr>
            <w:tcW w:w="5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结果</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纠正</w:t>
            </w:r>
          </w:p>
        </w:tc>
        <w:tc>
          <w:tcPr>
            <w:tcW w:w="5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其他</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结果</w:t>
            </w:r>
          </w:p>
        </w:tc>
        <w:tc>
          <w:tcPr>
            <w:tcW w:w="564"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尚未</w:t>
            </w:r>
            <w:r>
              <w:rPr>
                <w:rFonts w:hint="eastAsia" w:ascii="仿宋_GB2312" w:hAnsi="仿宋_GB2312" w:eastAsia="仿宋_GB2312" w:cs="仿宋_GB2312"/>
                <w:szCs w:val="21"/>
              </w:rPr>
              <w:br w:type="textWrapping"/>
            </w:r>
            <w:r>
              <w:rPr>
                <w:rFonts w:hint="eastAsia" w:ascii="仿宋_GB2312" w:hAnsi="仿宋_GB2312" w:eastAsia="仿宋_GB2312" w:cs="仿宋_GB2312"/>
                <w:szCs w:val="21"/>
              </w:rPr>
              <w:t>审结</w:t>
            </w:r>
          </w:p>
        </w:tc>
        <w:tc>
          <w:tcPr>
            <w:tcW w:w="571" w:type="dxa"/>
            <w:tcBorders>
              <w:top w:val="single" w:color="000000" w:sz="6" w:space="0"/>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总计</w:t>
            </w:r>
          </w:p>
        </w:tc>
      </w:tr>
      <w:tr>
        <w:tblPrEx>
          <w:tblCellMar>
            <w:top w:w="0" w:type="dxa"/>
            <w:left w:w="0" w:type="dxa"/>
            <w:bottom w:w="0" w:type="dxa"/>
            <w:right w:w="0" w:type="dxa"/>
          </w:tblCellMar>
        </w:tblPrEx>
        <w:trPr>
          <w:trHeight w:val="671" w:hRule="atLeast"/>
          <w:tblCellSpacing w:w="0" w:type="dxa"/>
          <w:jc w:val="center"/>
        </w:trPr>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70"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70"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64"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c>
          <w:tcPr>
            <w:tcW w:w="571" w:type="dxa"/>
            <w:tcBorders>
              <w:top w:val="nil"/>
              <w:left w:val="single" w:color="000000" w:sz="6" w:space="0"/>
              <w:bottom w:val="nil"/>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0</w:t>
            </w:r>
          </w:p>
        </w:tc>
      </w:tr>
      <w:tr>
        <w:tblPrEx>
          <w:tblCellMar>
            <w:top w:w="0" w:type="dxa"/>
            <w:left w:w="0" w:type="dxa"/>
            <w:bottom w:w="0" w:type="dxa"/>
            <w:right w:w="0" w:type="dxa"/>
          </w:tblCellMar>
        </w:tblPrEx>
        <w:trPr>
          <w:trHeight w:val="671" w:hRule="atLeast"/>
          <w:tblCellSpacing w:w="0" w:type="dxa"/>
          <w:jc w:val="center"/>
        </w:trPr>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70"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70"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c>
          <w:tcPr>
            <w:tcW w:w="564"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rPr>
                <w:rFonts w:hint="eastAsia" w:ascii="仿宋_GB2312" w:hAnsi="仿宋_GB2312" w:eastAsia="仿宋_GB2312" w:cs="仿宋_GB2312"/>
                <w:szCs w:val="21"/>
                <w:lang w:val="en-US" w:eastAsia="zh-CN"/>
              </w:rPr>
            </w:pPr>
          </w:p>
        </w:tc>
        <w:tc>
          <w:tcPr>
            <w:tcW w:w="571" w:type="dxa"/>
            <w:tcBorders>
              <w:top w:val="nil"/>
              <w:left w:val="single" w:color="000000" w:sz="6" w:space="0"/>
              <w:bottom w:val="single" w:color="000000" w:sz="6" w:space="0"/>
              <w:right w:val="single" w:color="000000" w:sz="6" w:space="0"/>
            </w:tcBorders>
            <w:shd w:val="clear" w:color="auto" w:fill="FFFFFF"/>
            <w:noWrap w:val="0"/>
            <w:tcMar>
              <w:left w:w="105" w:type="dxa"/>
              <w:right w:w="105" w:type="dxa"/>
            </w:tcMar>
            <w:vAlign w:val="center"/>
          </w:tcPr>
          <w:p>
            <w:pPr>
              <w:jc w:val="center"/>
              <w:rPr>
                <w:rFonts w:hint="eastAsia" w:ascii="仿宋_GB2312" w:hAnsi="仿宋_GB2312" w:eastAsia="仿宋_GB2312" w:cs="仿宋_GB2312"/>
                <w:szCs w:val="21"/>
                <w:lang w:val="en-US" w:eastAsia="zh-CN"/>
              </w:rPr>
            </w:pP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shd w:val="clear" w:fill="FFFFFF"/>
        </w:rPr>
        <w:t>五、存在的主要问题及改进情况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工作存在的问题：一是政府信息公开工作力度不够大，公开的信息还不够全面。二是群众对政府信息公开工作知晓率不够。三是业务能力有待进一步提高，对公开事项的认识还不够，对政府信息公开工作重要性、必要性思想重视不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改进措施：一是加强宣传，提高政府信息公开工作知晓率。二是继续深化公开内容，加强规范化管理，保证公开时效性。明确政府信息公开内容细则，做到所公开的信息透明度高、明确操作简便、明了的公开流程，确保信息公开的迅速、及时、规范。三是组织政务信息工作人员培训会，加强业务交流和指导，切实提高信息公开整体工作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shd w:val="clear" w:fill="FFFFFF"/>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按照《国务院办公厅关于印发〈政府信息公开信息处理费管理办法〉的通知》（国办函〔2020〕109号）文件规定的按件、按量收费标准，2021年，</w:t>
      </w:r>
      <w:r>
        <w:rPr>
          <w:rFonts w:hint="eastAsia" w:ascii="仿宋_GB2312" w:hAnsi="仿宋_GB2312" w:eastAsia="仿宋_GB2312" w:cs="仿宋_GB2312"/>
          <w:i w:val="0"/>
          <w:iCs w:val="0"/>
          <w:caps w:val="0"/>
          <w:color w:val="333333"/>
          <w:spacing w:val="0"/>
          <w:sz w:val="32"/>
          <w:szCs w:val="32"/>
          <w:shd w:val="clear" w:fill="FFFFFF"/>
          <w:lang w:eastAsia="zh-CN"/>
        </w:rPr>
        <w:t>干洲镇</w:t>
      </w:r>
      <w:r>
        <w:rPr>
          <w:rFonts w:hint="eastAsia" w:ascii="仿宋_GB2312" w:hAnsi="仿宋_GB2312" w:eastAsia="仿宋_GB2312" w:cs="仿宋_GB2312"/>
          <w:i w:val="0"/>
          <w:iCs w:val="0"/>
          <w:caps w:val="0"/>
          <w:color w:val="333333"/>
          <w:spacing w:val="0"/>
          <w:sz w:val="32"/>
          <w:szCs w:val="32"/>
          <w:shd w:val="clear" w:fill="FFFFFF"/>
        </w:rPr>
        <w:t>未收取政府信息公开信息处理费。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无其他需要报告事项。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160" w:firstLineChars="13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lang w:eastAsia="zh-CN"/>
        </w:rPr>
        <w:t>干洲镇</w:t>
      </w:r>
      <w:r>
        <w:rPr>
          <w:rFonts w:hint="eastAsia" w:ascii="仿宋_GB2312" w:hAnsi="仿宋_GB2312" w:eastAsia="仿宋_GB2312" w:cs="仿宋_GB2312"/>
          <w:i w:val="0"/>
          <w:iCs w:val="0"/>
          <w:caps w:val="0"/>
          <w:color w:val="333333"/>
          <w:spacing w:val="0"/>
          <w:sz w:val="32"/>
          <w:szCs w:val="32"/>
          <w:shd w:val="clear" w:fill="FFFFFF"/>
        </w:rPr>
        <w:t>人民政府办公室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480" w:firstLineChars="14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2022年1月2</w:t>
      </w:r>
      <w:r>
        <w:rPr>
          <w:rFonts w:hint="eastAsia" w:ascii="仿宋_GB2312" w:hAnsi="仿宋_GB2312" w:eastAsia="仿宋_GB2312" w:cs="仿宋_GB2312"/>
          <w:i w:val="0"/>
          <w:iCs w:val="0"/>
          <w:caps w:val="0"/>
          <w:color w:val="333333"/>
          <w:spacing w:val="0"/>
          <w:sz w:val="32"/>
          <w:szCs w:val="32"/>
          <w:shd w:val="clear" w:fill="FFFFFF"/>
          <w:lang w:val="en-US" w:eastAsia="zh-CN"/>
        </w:rPr>
        <w:t>7</w:t>
      </w:r>
      <w:r>
        <w:rPr>
          <w:rFonts w:hint="eastAsia" w:ascii="仿宋_GB2312" w:hAnsi="仿宋_GB2312" w:eastAsia="仿宋_GB2312" w:cs="仿宋_GB2312"/>
          <w:i w:val="0"/>
          <w:iCs w:val="0"/>
          <w:caps w:val="0"/>
          <w:color w:val="333333"/>
          <w:spacing w:val="0"/>
          <w:sz w:val="32"/>
          <w:szCs w:val="32"/>
          <w:shd w:val="clear" w:fill="FFFFFF"/>
        </w:rPr>
        <w:t>日</w:t>
      </w: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39373F"/>
    <w:multiLevelType w:val="singleLevel"/>
    <w:tmpl w:val="D239373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B06EB"/>
    <w:rsid w:val="04DA2840"/>
    <w:rsid w:val="08622E20"/>
    <w:rsid w:val="117E6862"/>
    <w:rsid w:val="2B9D48A9"/>
    <w:rsid w:val="3C9B06EB"/>
    <w:rsid w:val="7A587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2022-01-27T03:53:00Z</dcterms:created>
  <dc:creator>T*肖ing*</dc:creator>
  <cp:lastModifiedBy>T*肖ing*</cp:lastModifiedBy>
  <dcterms:modified xsi:type="dcterms:W3CDTF">2022-01-29T01:47:18Z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120E28666D0C4CE0ACAA1F75C854A112</vt:lpwstr>
  </property>
</Properties>
</file>