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pPr w:leftFromText="180" w:rightFromText="180" w:tblpY="-495"/>
        <w:tblW w:w="8537" w:type="dxa"/>
        <w:tblInd w:w="0" w:type="dxa"/>
        <w:tblLayout w:type="fixed"/>
        <w:tblCellMar>
          <w:top w:w="0" w:type="dxa"/>
          <w:left w:w="108" w:type="dxa"/>
          <w:bottom w:w="0" w:type="dxa"/>
          <w:right w:w="108" w:type="dxa"/>
        </w:tblCellMar>
      </w:tblPr>
      <w:tblGrid>
        <w:gridCol w:w="8537"/>
      </w:tblGrid>
      <w:tr>
        <w:tblPrEx>
          <w:tblLayout w:type="fixed"/>
          <w:tblCellMar>
            <w:top w:w="0" w:type="dxa"/>
            <w:left w:w="108" w:type="dxa"/>
            <w:bottom w:w="0" w:type="dxa"/>
            <w:right w:w="108" w:type="dxa"/>
          </w:tblCellMar>
        </w:tblPrEx>
        <w:trPr>
          <w:trHeight w:val="3043" w:hRule="atLeast"/>
        </w:trPr>
        <w:tc>
          <w:tcPr>
            <w:tcW w:w="8537" w:type="dxa"/>
            <w:vAlign w:val="top"/>
          </w:tcPr>
          <w:p>
            <w:pPr>
              <w:pStyle w:val="8"/>
              <w:rPr>
                <w:rFonts w:ascii="黑体" w:hAnsi="黑体" w:eastAsia="黑体"/>
                <w:caps/>
                <w:sz w:val="32"/>
                <w:szCs w:val="32"/>
              </w:rPr>
            </w:pPr>
            <w:r>
              <w:rPr>
                <w:rFonts w:hint="eastAsia" w:ascii="黑体" w:hAnsi="黑体" w:eastAsia="黑体"/>
                <w:caps/>
                <w:sz w:val="32"/>
                <w:szCs w:val="32"/>
              </w:rPr>
              <w:t>附件:</w:t>
            </w:r>
          </w:p>
        </w:tc>
      </w:tr>
      <w:tr>
        <w:tblPrEx>
          <w:tblLayout w:type="fixed"/>
          <w:tblCellMar>
            <w:top w:w="0" w:type="dxa"/>
            <w:left w:w="108" w:type="dxa"/>
            <w:bottom w:w="0" w:type="dxa"/>
            <w:right w:w="108" w:type="dxa"/>
          </w:tblCellMar>
        </w:tblPrEx>
        <w:trPr>
          <w:trHeight w:val="1521" w:hRule="atLeast"/>
        </w:trPr>
        <w:tc>
          <w:tcPr>
            <w:tcW w:w="8537" w:type="dxa"/>
            <w:tcBorders>
              <w:bottom w:val="single" w:color="4F81BD" w:sz="4" w:space="0"/>
            </w:tcBorders>
            <w:vAlign w:val="center"/>
          </w:tcPr>
          <w:p>
            <w:pPr>
              <w:pStyle w:val="8"/>
              <w:jc w:val="center"/>
              <w:rPr>
                <w:rFonts w:ascii="Cambria" w:hAnsi="Cambria"/>
                <w:sz w:val="80"/>
                <w:szCs w:val="80"/>
              </w:rPr>
            </w:pPr>
            <w:r>
              <w:rPr>
                <w:rFonts w:hint="eastAsia" w:ascii="Cambria" w:hAnsi="Cambria"/>
                <w:b/>
                <w:sz w:val="80"/>
                <w:szCs w:val="80"/>
              </w:rPr>
              <w:t>20</w:t>
            </w:r>
            <w:r>
              <w:rPr>
                <w:rFonts w:hint="eastAsia" w:ascii="Cambria" w:hAnsi="Cambria"/>
                <w:b/>
                <w:sz w:val="80"/>
                <w:szCs w:val="80"/>
                <w:lang w:val="en-US" w:eastAsia="zh-CN"/>
              </w:rPr>
              <w:t>17</w:t>
            </w:r>
            <w:r>
              <w:rPr>
                <w:rFonts w:hint="eastAsia" w:ascii="Cambria" w:hAnsi="Cambria"/>
                <w:b/>
                <w:sz w:val="80"/>
                <w:szCs w:val="80"/>
              </w:rPr>
              <w:t>年部门决算</w:t>
            </w:r>
          </w:p>
        </w:tc>
      </w:tr>
      <w:tr>
        <w:tblPrEx>
          <w:tblLayout w:type="fixed"/>
          <w:tblCellMar>
            <w:top w:w="0" w:type="dxa"/>
            <w:left w:w="108" w:type="dxa"/>
            <w:bottom w:w="0" w:type="dxa"/>
            <w:right w:w="108" w:type="dxa"/>
          </w:tblCellMar>
        </w:tblPrEx>
        <w:trPr>
          <w:trHeight w:val="761" w:hRule="atLeast"/>
        </w:trPr>
        <w:tc>
          <w:tcPr>
            <w:tcW w:w="8537" w:type="dxa"/>
            <w:tcBorders>
              <w:top w:val="single" w:color="4F81BD" w:sz="4" w:space="0"/>
            </w:tcBorders>
            <w:vAlign w:val="center"/>
          </w:tcPr>
          <w:p>
            <w:pPr>
              <w:pStyle w:val="8"/>
              <w:jc w:val="center"/>
              <w:rPr>
                <w:rFonts w:ascii="Cambria" w:hAnsi="Cambria"/>
                <w:sz w:val="44"/>
                <w:szCs w:val="44"/>
              </w:rPr>
            </w:pPr>
          </w:p>
        </w:tc>
      </w:tr>
      <w:tr>
        <w:tblPrEx>
          <w:tblLayout w:type="fixed"/>
          <w:tblCellMar>
            <w:top w:w="0" w:type="dxa"/>
            <w:left w:w="108" w:type="dxa"/>
            <w:bottom w:w="0" w:type="dxa"/>
            <w:right w:w="108" w:type="dxa"/>
          </w:tblCellMar>
        </w:tblPrEx>
        <w:trPr>
          <w:trHeight w:val="380" w:hRule="atLeast"/>
        </w:trPr>
        <w:tc>
          <w:tcPr>
            <w:tcW w:w="8537" w:type="dxa"/>
            <w:vAlign w:val="center"/>
          </w:tcPr>
          <w:p>
            <w:pPr>
              <w:pStyle w:val="8"/>
              <w:jc w:val="center"/>
              <w:rPr>
                <w:rFonts w:hint="eastAsia"/>
              </w:rPr>
            </w:pPr>
          </w:p>
          <w:p>
            <w:pPr>
              <w:pStyle w:val="8"/>
              <w:jc w:val="center"/>
              <w:rPr>
                <w:rFonts w:hint="eastAsia"/>
              </w:rPr>
            </w:pPr>
          </w:p>
          <w:p>
            <w:pPr>
              <w:pStyle w:val="8"/>
              <w:jc w:val="center"/>
              <w:rPr>
                <w:rFonts w:hint="eastAsia"/>
              </w:rPr>
            </w:pPr>
          </w:p>
          <w:p>
            <w:pPr>
              <w:pStyle w:val="8"/>
              <w:jc w:val="center"/>
              <w:rPr>
                <w:rFonts w:hint="eastAsia"/>
              </w:rPr>
            </w:pPr>
          </w:p>
          <w:p>
            <w:pPr>
              <w:pStyle w:val="8"/>
              <w:jc w:val="center"/>
            </w:pPr>
          </w:p>
        </w:tc>
      </w:tr>
      <w:tr>
        <w:tblPrEx>
          <w:tblLayout w:type="fixed"/>
          <w:tblCellMar>
            <w:top w:w="0" w:type="dxa"/>
            <w:left w:w="108" w:type="dxa"/>
            <w:bottom w:w="0" w:type="dxa"/>
            <w:right w:w="108" w:type="dxa"/>
          </w:tblCellMar>
        </w:tblPrEx>
        <w:trPr>
          <w:trHeight w:val="1513" w:hRule="atLeast"/>
        </w:trPr>
        <w:tc>
          <w:tcPr>
            <w:tcW w:w="8537" w:type="dxa"/>
            <w:vAlign w:val="center"/>
          </w:tcPr>
          <w:p>
            <w:pPr>
              <w:pStyle w:val="8"/>
              <w:rPr>
                <w:rFonts w:hint="eastAsia" w:eastAsiaTheme="minorEastAsia"/>
                <w:b/>
                <w:bCs/>
                <w:lang w:eastAsia="zh-CN"/>
              </w:rPr>
            </w:pPr>
            <w:r>
              <w:rPr>
                <w:rFonts w:hint="eastAsia"/>
                <w:b/>
                <w:bCs/>
                <w:sz w:val="32"/>
                <w:szCs w:val="32"/>
              </w:rPr>
              <w:t xml:space="preserve">           单位公章：</w:t>
            </w:r>
            <w:r>
              <w:rPr>
                <w:rFonts w:hint="eastAsia"/>
                <w:b/>
                <w:bCs/>
                <w:sz w:val="32"/>
                <w:szCs w:val="32"/>
                <w:lang w:eastAsia="zh-CN"/>
              </w:rPr>
              <w:t>奉新县商务局</w:t>
            </w:r>
          </w:p>
        </w:tc>
      </w:tr>
      <w:tr>
        <w:tblPrEx>
          <w:tblLayout w:type="fixed"/>
          <w:tblCellMar>
            <w:top w:w="0" w:type="dxa"/>
            <w:left w:w="108" w:type="dxa"/>
            <w:bottom w:w="0" w:type="dxa"/>
            <w:right w:w="108" w:type="dxa"/>
          </w:tblCellMar>
        </w:tblPrEx>
        <w:trPr>
          <w:trHeight w:val="380" w:hRule="atLeast"/>
        </w:trPr>
        <w:tc>
          <w:tcPr>
            <w:tcW w:w="8537" w:type="dxa"/>
            <w:vAlign w:val="center"/>
          </w:tcPr>
          <w:p>
            <w:pPr>
              <w:pStyle w:val="8"/>
              <w:rPr>
                <w:rFonts w:hint="eastAsia" w:eastAsiaTheme="minorEastAsia"/>
                <w:b/>
                <w:bCs/>
                <w:sz w:val="32"/>
                <w:szCs w:val="32"/>
                <w:lang w:val="en-US" w:eastAsia="zh-CN"/>
              </w:rPr>
            </w:pPr>
            <w:r>
              <w:rPr>
                <w:rFonts w:hint="eastAsia"/>
                <w:b/>
                <w:bCs/>
                <w:sz w:val="32"/>
                <w:szCs w:val="32"/>
              </w:rPr>
              <w:t xml:space="preserve">           报送日期：</w:t>
            </w:r>
            <w:r>
              <w:rPr>
                <w:rFonts w:hint="eastAsia"/>
                <w:b/>
                <w:bCs/>
                <w:sz w:val="32"/>
                <w:szCs w:val="32"/>
                <w:lang w:val="en-US" w:eastAsia="zh-CN"/>
              </w:rPr>
              <w:t>2018年9月10日</w:t>
            </w:r>
          </w:p>
        </w:tc>
      </w:tr>
    </w:tbl>
    <w:p>
      <w:pPr>
        <w:rPr>
          <w:sz w:val="32"/>
          <w:szCs w:val="32"/>
        </w:rPr>
      </w:pPr>
    </w:p>
    <w:p/>
    <w:p/>
    <w:tbl>
      <w:tblPr>
        <w:tblStyle w:val="5"/>
        <w:tblpPr w:leftFromText="187" w:rightFromText="187" w:vertAnchor="page" w:horzAnchor="margin" w:tblpY="12961"/>
        <w:tblW w:w="8522" w:type="dxa"/>
        <w:tblInd w:w="0" w:type="dxa"/>
        <w:tblLayout w:type="fixed"/>
        <w:tblCellMar>
          <w:top w:w="0" w:type="dxa"/>
          <w:left w:w="108" w:type="dxa"/>
          <w:bottom w:w="0" w:type="dxa"/>
          <w:right w:w="108" w:type="dxa"/>
        </w:tblCellMar>
      </w:tblPr>
      <w:tblGrid>
        <w:gridCol w:w="8522"/>
      </w:tblGrid>
      <w:tr>
        <w:tblPrEx>
          <w:tblLayout w:type="fixed"/>
          <w:tblCellMar>
            <w:top w:w="0" w:type="dxa"/>
            <w:left w:w="108" w:type="dxa"/>
            <w:bottom w:w="0" w:type="dxa"/>
            <w:right w:w="108" w:type="dxa"/>
          </w:tblCellMar>
        </w:tblPrEx>
        <w:trPr>
          <w:trHeight w:val="80" w:hRule="atLeast"/>
        </w:trPr>
        <w:tc>
          <w:tcPr>
            <w:tcW w:w="8522" w:type="dxa"/>
            <w:vAlign w:val="top"/>
          </w:tcPr>
          <w:p>
            <w:pPr>
              <w:pStyle w:val="8"/>
              <w:rPr>
                <w:rFonts w:hint="eastAsia" w:ascii="宋体" w:hAnsi="宋体"/>
                <w:b/>
                <w:sz w:val="32"/>
                <w:szCs w:val="32"/>
              </w:rPr>
            </w:pPr>
            <w:r>
              <w:rPr>
                <w:rFonts w:hint="eastAsia" w:ascii="宋体" w:hAnsi="宋体"/>
                <w:b/>
                <w:sz w:val="32"/>
                <w:szCs w:val="32"/>
              </w:rPr>
              <w:t>单位负责人（签章）：</w:t>
            </w:r>
            <w:r>
              <w:rPr>
                <w:rFonts w:hint="eastAsia" w:ascii="宋体" w:hAnsi="宋体"/>
                <w:b/>
                <w:sz w:val="32"/>
                <w:szCs w:val="32"/>
                <w:lang w:eastAsia="zh-CN"/>
              </w:rPr>
              <w:t>辛秀玉</w:t>
            </w:r>
            <w:r>
              <w:rPr>
                <w:rFonts w:hint="eastAsia" w:ascii="宋体" w:hAnsi="宋体"/>
                <w:b/>
                <w:sz w:val="32"/>
                <w:szCs w:val="32"/>
              </w:rPr>
              <w:t xml:space="preserve">    </w:t>
            </w:r>
          </w:p>
          <w:p>
            <w:pPr>
              <w:pStyle w:val="8"/>
              <w:rPr>
                <w:rFonts w:hint="eastAsia" w:ascii="宋体" w:hAnsi="宋体"/>
                <w:b/>
                <w:sz w:val="32"/>
                <w:szCs w:val="32"/>
              </w:rPr>
            </w:pPr>
            <w:r>
              <w:rPr>
                <w:rFonts w:hint="eastAsia" w:ascii="宋体" w:hAnsi="宋体"/>
                <w:b/>
                <w:sz w:val="32"/>
                <w:szCs w:val="32"/>
              </w:rPr>
              <w:t xml:space="preserve"> </w:t>
            </w:r>
          </w:p>
          <w:p>
            <w:pPr>
              <w:pStyle w:val="8"/>
              <w:rPr>
                <w:rFonts w:hint="eastAsia" w:eastAsiaTheme="minorEastAsia"/>
                <w:sz w:val="32"/>
                <w:szCs w:val="32"/>
                <w:lang w:eastAsia="zh-CN"/>
              </w:rPr>
            </w:pPr>
            <w:r>
              <w:rPr>
                <w:rFonts w:hint="eastAsia" w:ascii="宋体" w:hAnsi="宋体"/>
                <w:b/>
                <w:sz w:val="32"/>
                <w:szCs w:val="32"/>
              </w:rPr>
              <w:t>财务负责人（签章）：</w:t>
            </w:r>
            <w:r>
              <w:rPr>
                <w:rFonts w:hint="eastAsia" w:ascii="宋体" w:hAnsi="宋体"/>
                <w:b/>
                <w:sz w:val="32"/>
                <w:szCs w:val="32"/>
                <w:lang w:eastAsia="zh-CN"/>
              </w:rPr>
              <w:t>卢再发</w:t>
            </w:r>
            <w:r>
              <w:rPr>
                <w:rFonts w:hint="eastAsia" w:ascii="宋体" w:hAnsi="宋体"/>
                <w:b/>
                <w:sz w:val="32"/>
                <w:szCs w:val="32"/>
              </w:rPr>
              <w:t xml:space="preserve"> 经办人（签章）：</w:t>
            </w:r>
            <w:r>
              <w:rPr>
                <w:rFonts w:hint="eastAsia" w:ascii="宋体" w:hAnsi="宋体"/>
                <w:b/>
                <w:sz w:val="32"/>
                <w:szCs w:val="32"/>
                <w:lang w:eastAsia="zh-CN"/>
              </w:rPr>
              <w:t>涂淑瑶</w:t>
            </w:r>
          </w:p>
        </w:tc>
      </w:tr>
    </w:tbl>
    <w:p>
      <w:pPr>
        <w:spacing w:line="600" w:lineRule="exact"/>
        <w:jc w:val="center"/>
        <w:rPr>
          <w:rFonts w:ascii="仿宋" w:hAnsi="仿宋" w:eastAsia="仿宋"/>
          <w:sz w:val="32"/>
          <w:szCs w:val="32"/>
        </w:rPr>
      </w:pPr>
      <w:r>
        <w:rPr>
          <w:rFonts w:ascii="仿宋" w:hAnsi="仿宋" w:eastAsia="仿宋"/>
          <w:sz w:val="32"/>
          <w:szCs w:val="32"/>
        </w:rPr>
        <w:br w:type="page"/>
      </w:r>
    </w:p>
    <w:p>
      <w:pPr>
        <w:spacing w:line="600" w:lineRule="exact"/>
        <w:jc w:val="center"/>
        <w:rPr>
          <w:rFonts w:hint="eastAsia" w:ascii="黑体" w:eastAsia="黑体"/>
          <w:sz w:val="44"/>
          <w:szCs w:val="36"/>
        </w:rPr>
      </w:pPr>
      <w:r>
        <w:rPr>
          <w:rFonts w:hint="eastAsia" w:ascii="黑体" w:hAnsi="黑体" w:eastAsia="黑体"/>
          <w:sz w:val="44"/>
          <w:szCs w:val="36"/>
          <w:lang w:eastAsia="zh-CN"/>
        </w:rPr>
        <w:t>奉新县商务局</w:t>
      </w:r>
      <w:r>
        <w:rPr>
          <w:rFonts w:hint="eastAsia" w:ascii="黑体" w:eastAsia="黑体"/>
          <w:sz w:val="44"/>
          <w:szCs w:val="36"/>
        </w:rPr>
        <w:t>2017年度部门决算</w:t>
      </w:r>
    </w:p>
    <w:p>
      <w:pPr>
        <w:spacing w:line="600" w:lineRule="exact"/>
        <w:jc w:val="center"/>
        <w:rPr>
          <w:rFonts w:hint="eastAsia" w:ascii="黑体" w:eastAsia="黑体"/>
          <w:sz w:val="44"/>
          <w:szCs w:val="36"/>
        </w:rPr>
      </w:pPr>
    </w:p>
    <w:p>
      <w:pPr>
        <w:spacing w:line="600" w:lineRule="exact"/>
        <w:jc w:val="center"/>
        <w:rPr>
          <w:rFonts w:hint="eastAsia" w:ascii="黑体" w:eastAsia="黑体"/>
          <w:sz w:val="40"/>
          <w:szCs w:val="36"/>
        </w:rPr>
      </w:pPr>
      <w:r>
        <w:rPr>
          <w:rFonts w:hint="eastAsia" w:ascii="黑体" w:eastAsia="黑体"/>
          <w:sz w:val="40"/>
          <w:szCs w:val="36"/>
        </w:rPr>
        <w:t>目    录</w:t>
      </w:r>
    </w:p>
    <w:p>
      <w:pPr>
        <w:widowControl/>
        <w:spacing w:line="600" w:lineRule="exact"/>
        <w:ind w:firstLine="640"/>
        <w:jc w:val="left"/>
        <w:rPr>
          <w:rFonts w:hint="eastAsia" w:ascii="仿宋_GB2312" w:eastAsia="仿宋_GB2312"/>
          <w:sz w:val="32"/>
          <w:szCs w:val="30"/>
        </w:rPr>
      </w:pPr>
    </w:p>
    <w:p>
      <w:pPr>
        <w:widowControl/>
        <w:spacing w:line="600" w:lineRule="exact"/>
        <w:ind w:firstLine="640"/>
        <w:jc w:val="left"/>
        <w:rPr>
          <w:rFonts w:hint="eastAsia" w:ascii="黑体" w:hAnsi="黑体" w:eastAsia="黑体"/>
          <w:b/>
          <w:sz w:val="32"/>
          <w:szCs w:val="32"/>
        </w:rPr>
      </w:pPr>
      <w:r>
        <w:rPr>
          <w:rFonts w:hint="eastAsia" w:ascii="黑体" w:hAnsi="黑体" w:eastAsia="黑体"/>
          <w:b/>
          <w:sz w:val="32"/>
          <w:szCs w:val="32"/>
        </w:rPr>
        <w:t xml:space="preserve">第一部分  </w:t>
      </w:r>
      <w:r>
        <w:rPr>
          <w:rFonts w:hint="eastAsia" w:ascii="黑体" w:hAnsi="黑体" w:eastAsia="黑体"/>
          <w:sz w:val="32"/>
          <w:szCs w:val="32"/>
          <w:lang w:eastAsia="zh-CN"/>
        </w:rPr>
        <w:t>奉新县商务局概况</w:t>
      </w:r>
    </w:p>
    <w:p>
      <w:pPr>
        <w:widowControl/>
        <w:spacing w:line="600" w:lineRule="exact"/>
        <w:ind w:firstLine="640"/>
        <w:jc w:val="left"/>
        <w:rPr>
          <w:rFonts w:hint="eastAsia" w:ascii="仿宋_GB2312" w:hAnsi="仿宋_GB2312" w:eastAsia="仿宋_GB2312" w:cs="仿宋_GB2312"/>
          <w:b w:val="0"/>
          <w:bCs w:val="0"/>
          <w:sz w:val="32"/>
          <w:szCs w:val="30"/>
        </w:rPr>
      </w:pPr>
      <w:r>
        <w:rPr>
          <w:rFonts w:hint="eastAsia" w:ascii="仿宋_GB2312" w:eastAsia="仿宋_GB2312"/>
          <w:b/>
          <w:sz w:val="32"/>
          <w:szCs w:val="30"/>
        </w:rPr>
        <w:t xml:space="preserve">   </w:t>
      </w:r>
      <w:r>
        <w:rPr>
          <w:rFonts w:hint="eastAsia" w:ascii="仿宋_GB2312" w:hAnsi="仿宋_GB2312" w:eastAsia="仿宋_GB2312" w:cs="仿宋_GB2312"/>
          <w:b/>
          <w:sz w:val="32"/>
          <w:szCs w:val="30"/>
        </w:rPr>
        <w:t xml:space="preserve"> </w:t>
      </w:r>
      <w:r>
        <w:rPr>
          <w:rFonts w:hint="eastAsia" w:ascii="仿宋_GB2312" w:hAnsi="仿宋_GB2312" w:eastAsia="仿宋_GB2312" w:cs="仿宋_GB2312"/>
          <w:b w:val="0"/>
          <w:bCs w:val="0"/>
          <w:sz w:val="32"/>
          <w:szCs w:val="30"/>
        </w:rPr>
        <w:t>一、部门主要职责</w:t>
      </w:r>
    </w:p>
    <w:p>
      <w:pPr>
        <w:widowControl/>
        <w:spacing w:line="600" w:lineRule="exact"/>
        <w:ind w:firstLine="640"/>
        <w:jc w:val="left"/>
        <w:rPr>
          <w:rFonts w:hint="eastAsia" w:ascii="仿宋_GB2312" w:hAnsi="仿宋_GB2312" w:eastAsia="仿宋_GB2312" w:cs="仿宋_GB2312"/>
          <w:b w:val="0"/>
          <w:bCs w:val="0"/>
          <w:kern w:val="0"/>
          <w:sz w:val="32"/>
          <w:szCs w:val="32"/>
        </w:rPr>
      </w:pPr>
      <w:r>
        <w:rPr>
          <w:rFonts w:hint="eastAsia" w:ascii="仿宋_GB2312" w:hAnsi="仿宋_GB2312" w:eastAsia="仿宋_GB2312" w:cs="仿宋_GB2312"/>
          <w:b w:val="0"/>
          <w:bCs w:val="0"/>
          <w:kern w:val="0"/>
          <w:sz w:val="32"/>
          <w:szCs w:val="32"/>
        </w:rPr>
        <w:t xml:space="preserve">    二、部门基本情况</w:t>
      </w:r>
    </w:p>
    <w:p>
      <w:pPr>
        <w:widowControl/>
        <w:spacing w:line="600" w:lineRule="exact"/>
        <w:ind w:firstLine="640"/>
        <w:jc w:val="left"/>
        <w:rPr>
          <w:rFonts w:hint="eastAsia" w:ascii="黑体" w:hAnsi="黑体" w:eastAsia="黑体"/>
          <w:sz w:val="32"/>
          <w:szCs w:val="32"/>
        </w:rPr>
      </w:pPr>
      <w:r>
        <w:rPr>
          <w:rFonts w:hint="eastAsia" w:ascii="黑体" w:hAnsi="黑体" w:eastAsia="黑体"/>
          <w:sz w:val="32"/>
          <w:szCs w:val="32"/>
        </w:rPr>
        <w:t>第二部分  2017年度部门决算表</w:t>
      </w:r>
    </w:p>
    <w:p>
      <w:pPr>
        <w:widowControl/>
        <w:spacing w:line="600" w:lineRule="exact"/>
        <w:ind w:firstLine="1280" w:firstLineChars="400"/>
        <w:jc w:val="left"/>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一、收入支出决算总表</w:t>
      </w:r>
    </w:p>
    <w:p>
      <w:pPr>
        <w:widowControl/>
        <w:spacing w:line="600" w:lineRule="exact"/>
        <w:ind w:firstLine="1280" w:firstLineChars="400"/>
        <w:jc w:val="left"/>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二、收入决算表</w:t>
      </w:r>
    </w:p>
    <w:p>
      <w:pPr>
        <w:widowControl/>
        <w:spacing w:line="600" w:lineRule="exact"/>
        <w:ind w:firstLine="64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三、支出决算表</w:t>
      </w:r>
    </w:p>
    <w:p>
      <w:pPr>
        <w:widowControl/>
        <w:spacing w:line="600" w:lineRule="exact"/>
        <w:ind w:firstLine="64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四、财政拨款收入支出决算总表</w:t>
      </w:r>
    </w:p>
    <w:p>
      <w:pPr>
        <w:widowControl/>
        <w:spacing w:line="600" w:lineRule="exact"/>
        <w:ind w:firstLine="64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五、一般公共预算财政拨款支出决算表</w:t>
      </w:r>
    </w:p>
    <w:p>
      <w:pPr>
        <w:widowControl/>
        <w:spacing w:line="600" w:lineRule="exact"/>
        <w:ind w:firstLine="64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六、一般公共预算财政拨款基本支出决算表</w:t>
      </w:r>
    </w:p>
    <w:p>
      <w:pPr>
        <w:widowControl/>
        <w:spacing w:line="600" w:lineRule="exact"/>
        <w:ind w:firstLine="64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七、一般公共预算财政拨款“三公”经费支出决算</w:t>
      </w:r>
    </w:p>
    <w:p>
      <w:pPr>
        <w:widowControl/>
        <w:spacing w:line="600" w:lineRule="exact"/>
        <w:ind w:firstLine="64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表</w:t>
      </w:r>
    </w:p>
    <w:p>
      <w:pPr>
        <w:widowControl/>
        <w:spacing w:line="600" w:lineRule="exact"/>
        <w:ind w:firstLine="64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八、政府性基金预算财政拨款收入支出决算表</w:t>
      </w:r>
    </w:p>
    <w:p>
      <w:pPr>
        <w:widowControl/>
        <w:spacing w:line="600" w:lineRule="exact"/>
        <w:ind w:firstLine="640"/>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    九、国有资产占用情况表</w:t>
      </w:r>
    </w:p>
    <w:p>
      <w:pPr>
        <w:widowControl/>
        <w:spacing w:line="600" w:lineRule="exact"/>
        <w:jc w:val="left"/>
        <w:rPr>
          <w:rFonts w:hint="eastAsia" w:ascii="黑体" w:hAnsi="黑体" w:eastAsia="黑体"/>
          <w:sz w:val="32"/>
          <w:szCs w:val="32"/>
        </w:rPr>
      </w:pPr>
      <w:r>
        <w:rPr>
          <w:rFonts w:hint="eastAsia" w:ascii="仿宋" w:hAnsi="仿宋" w:eastAsia="仿宋" w:cs="宋体"/>
          <w:kern w:val="0"/>
          <w:sz w:val="32"/>
          <w:szCs w:val="32"/>
        </w:rPr>
        <w:t xml:space="preserve">    </w:t>
      </w:r>
      <w:r>
        <w:rPr>
          <w:rFonts w:hint="eastAsia" w:ascii="黑体" w:hAnsi="黑体" w:eastAsia="黑体"/>
          <w:sz w:val="32"/>
          <w:szCs w:val="32"/>
        </w:rPr>
        <w:t>第三部分  2017年度部门决算情况说明</w:t>
      </w:r>
    </w:p>
    <w:p>
      <w:pPr>
        <w:widowControl/>
        <w:spacing w:line="600" w:lineRule="exact"/>
        <w:ind w:firstLine="1280" w:firstLineChars="400"/>
        <w:jc w:val="left"/>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一、收入决算情况说明</w:t>
      </w:r>
    </w:p>
    <w:p>
      <w:pPr>
        <w:widowControl/>
        <w:spacing w:line="600" w:lineRule="exact"/>
        <w:ind w:firstLine="1280" w:firstLineChars="400"/>
        <w:jc w:val="left"/>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二、支出决算情况说明</w:t>
      </w:r>
    </w:p>
    <w:p>
      <w:pPr>
        <w:widowControl/>
        <w:spacing w:line="600" w:lineRule="exact"/>
        <w:ind w:firstLine="1280" w:firstLineChars="400"/>
        <w:jc w:val="left"/>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三、财政拨款支出决算情况说明</w:t>
      </w:r>
    </w:p>
    <w:p>
      <w:pPr>
        <w:widowControl/>
        <w:spacing w:line="600" w:lineRule="exact"/>
        <w:ind w:firstLine="1280" w:firstLineChars="400"/>
        <w:jc w:val="left"/>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四、一般公共预算财政拨款基本支出决算情况说明</w:t>
      </w:r>
    </w:p>
    <w:p>
      <w:pPr>
        <w:widowControl/>
        <w:spacing w:line="600" w:lineRule="exact"/>
        <w:ind w:firstLine="1280" w:firstLineChars="400"/>
        <w:jc w:val="left"/>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五、一般公共预算财政拨款“三公”经费支出决算</w:t>
      </w:r>
    </w:p>
    <w:p>
      <w:pPr>
        <w:widowControl/>
        <w:spacing w:line="600" w:lineRule="exact"/>
        <w:jc w:val="left"/>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 xml:space="preserve">    情况说明</w:t>
      </w:r>
    </w:p>
    <w:p>
      <w:pPr>
        <w:widowControl/>
        <w:spacing w:line="600" w:lineRule="exact"/>
        <w:ind w:firstLine="1280" w:firstLineChars="400"/>
        <w:jc w:val="left"/>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六、机关运行经费支出情况说明</w:t>
      </w:r>
    </w:p>
    <w:p>
      <w:pPr>
        <w:widowControl/>
        <w:spacing w:line="600" w:lineRule="exact"/>
        <w:ind w:firstLine="640"/>
        <w:jc w:val="left"/>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 xml:space="preserve">    七、政府采购支出情况说明</w:t>
      </w:r>
    </w:p>
    <w:p>
      <w:pPr>
        <w:widowControl/>
        <w:spacing w:line="600" w:lineRule="exact"/>
        <w:ind w:firstLine="640"/>
        <w:jc w:val="left"/>
        <w:rPr>
          <w:rFonts w:hint="eastAsia" w:ascii="仿宋_GB2312" w:hAnsi="仿宋_GB2312" w:eastAsia="仿宋_GB2312" w:cs="仿宋_GB2312"/>
          <w:sz w:val="32"/>
          <w:szCs w:val="30"/>
        </w:rPr>
      </w:pPr>
      <w:r>
        <w:rPr>
          <w:rFonts w:hint="eastAsia" w:ascii="仿宋_GB2312" w:hAnsi="仿宋_GB2312" w:eastAsia="仿宋_GB2312" w:cs="仿宋_GB2312"/>
          <w:sz w:val="32"/>
          <w:szCs w:val="30"/>
        </w:rPr>
        <w:t xml:space="preserve">    八、预算绩效情况说明</w:t>
      </w:r>
    </w:p>
    <w:p>
      <w:pPr>
        <w:widowControl/>
        <w:spacing w:line="600" w:lineRule="exact"/>
        <w:ind w:firstLine="1280" w:firstLineChars="400"/>
        <w:jc w:val="left"/>
        <w:rPr>
          <w:rFonts w:hint="eastAsia" w:ascii="仿宋_GB2312" w:hAnsi="仿宋_GB2312" w:eastAsia="仿宋_GB2312" w:cs="仿宋_GB2312"/>
          <w:sz w:val="32"/>
          <w:szCs w:val="30"/>
        </w:rPr>
      </w:pPr>
      <w:r>
        <w:rPr>
          <w:rFonts w:hint="eastAsia" w:ascii="仿宋_GB2312" w:hAnsi="仿宋_GB2312" w:eastAsia="仿宋_GB2312" w:cs="仿宋_GB2312"/>
          <w:sz w:val="32"/>
          <w:szCs w:val="30"/>
          <w:lang w:val="en-US" w:eastAsia="zh-CN"/>
        </w:rPr>
        <w:t>九、国有资产占用情况说明</w:t>
      </w:r>
    </w:p>
    <w:p>
      <w:pPr>
        <w:widowControl/>
        <w:spacing w:line="600" w:lineRule="exact"/>
        <w:ind w:firstLine="640"/>
        <w:jc w:val="left"/>
        <w:rPr>
          <w:rFonts w:ascii="仿宋" w:hAnsi="仿宋" w:eastAsia="仿宋"/>
          <w:sz w:val="32"/>
          <w:szCs w:val="30"/>
        </w:rPr>
      </w:pPr>
      <w:r>
        <w:rPr>
          <w:rFonts w:hint="eastAsia" w:ascii="黑体" w:hAnsi="黑体" w:eastAsia="黑体"/>
          <w:sz w:val="32"/>
          <w:szCs w:val="32"/>
        </w:rPr>
        <w:t>第四部分  名词解释</w:t>
      </w: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ind w:firstLine="630"/>
        <w:jc w:val="center"/>
        <w:rPr>
          <w:rFonts w:hint="eastAsia" w:ascii="宋体" w:hAnsi="宋体"/>
          <w:b/>
          <w:sz w:val="36"/>
          <w:szCs w:val="36"/>
        </w:rPr>
      </w:pPr>
    </w:p>
    <w:p>
      <w:pPr>
        <w:jc w:val="both"/>
        <w:rPr>
          <w:rFonts w:hint="eastAsia" w:ascii="宋体" w:hAnsi="宋体"/>
          <w:b/>
          <w:sz w:val="36"/>
          <w:szCs w:val="36"/>
        </w:rPr>
      </w:pPr>
    </w:p>
    <w:p>
      <w:pPr>
        <w:widowControl/>
        <w:spacing w:line="580" w:lineRule="exact"/>
        <w:jc w:val="center"/>
        <w:rPr>
          <w:rFonts w:hint="eastAsia" w:ascii="宋体" w:hAnsi="宋体"/>
          <w:b/>
          <w:sz w:val="32"/>
          <w:szCs w:val="30"/>
        </w:rPr>
      </w:pPr>
      <w:r>
        <w:rPr>
          <w:rFonts w:hint="eastAsia" w:ascii="宋体" w:hAnsi="宋体"/>
          <w:b/>
          <w:sz w:val="32"/>
          <w:szCs w:val="30"/>
        </w:rPr>
        <w:t xml:space="preserve">第一部分  </w:t>
      </w:r>
      <w:r>
        <w:rPr>
          <w:rFonts w:hint="eastAsia" w:ascii="宋体" w:hAnsi="宋体"/>
          <w:b/>
          <w:sz w:val="32"/>
          <w:szCs w:val="32"/>
          <w:lang w:eastAsia="zh-CN"/>
        </w:rPr>
        <w:t>奉新县商务局</w:t>
      </w:r>
      <w:r>
        <w:rPr>
          <w:rFonts w:hint="eastAsia" w:ascii="宋体" w:hAnsi="宋体"/>
          <w:b/>
          <w:sz w:val="32"/>
          <w:szCs w:val="30"/>
        </w:rPr>
        <w:t>概况</w:t>
      </w:r>
    </w:p>
    <w:p>
      <w:pPr>
        <w:ind w:firstLine="630"/>
        <w:jc w:val="center"/>
        <w:rPr>
          <w:rFonts w:hint="eastAsia"/>
          <w:sz w:val="32"/>
          <w:szCs w:val="32"/>
        </w:rPr>
      </w:pPr>
    </w:p>
    <w:p>
      <w:pPr>
        <w:ind w:firstLine="630"/>
        <w:jc w:val="left"/>
        <w:rPr>
          <w:rFonts w:hint="eastAsia" w:ascii="黑体" w:hAnsi="黑体" w:eastAsia="黑体"/>
          <w:sz w:val="30"/>
          <w:szCs w:val="30"/>
        </w:rPr>
      </w:pPr>
      <w:r>
        <w:rPr>
          <w:rFonts w:hint="eastAsia" w:ascii="黑体" w:hAnsi="黑体" w:eastAsia="黑体"/>
          <w:sz w:val="30"/>
          <w:szCs w:val="30"/>
        </w:rPr>
        <w:t>一、部门主要职能</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（一）</w:t>
      </w:r>
      <w:r>
        <w:rPr>
          <w:rFonts w:hint="eastAsia" w:ascii="仿宋_GB2312" w:eastAsia="仿宋_GB2312"/>
          <w:sz w:val="32"/>
          <w:szCs w:val="32"/>
        </w:rPr>
        <w:t>贯彻实施国家、省、市有关国内外贸易、国家经济合作发展战略、政策；拟定全县相应的发展规划以及规定、办法和措施。</w:t>
      </w:r>
    </w:p>
    <w:p>
      <w:pPr>
        <w:ind w:firstLine="640" w:firstLineChars="200"/>
        <w:rPr>
          <w:rFonts w:hint="eastAsia" w:ascii="仿宋_GB2312" w:eastAsia="仿宋_GB2312"/>
          <w:sz w:val="32"/>
          <w:szCs w:val="32"/>
        </w:rPr>
      </w:pPr>
      <w:r>
        <w:rPr>
          <w:rFonts w:hint="eastAsia" w:ascii="仿宋_GB2312" w:eastAsia="仿宋_GB2312"/>
          <w:sz w:val="32"/>
          <w:szCs w:val="32"/>
          <w:lang w:eastAsia="zh-CN"/>
        </w:rPr>
        <w:t>（二）</w:t>
      </w:r>
      <w:r>
        <w:rPr>
          <w:rFonts w:hint="eastAsia" w:ascii="仿宋_GB2312" w:eastAsia="仿宋_GB2312"/>
          <w:sz w:val="32"/>
          <w:szCs w:val="32"/>
        </w:rPr>
        <w:t>在全县经济和社会发展总体规划的框架内，拟订全县对外贸易、对外经济合作的发展战略及规划，并组织实施。</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（三）</w:t>
      </w:r>
      <w:r>
        <w:rPr>
          <w:rFonts w:hint="eastAsia" w:ascii="仿宋_GB2312" w:eastAsia="仿宋_GB2312"/>
          <w:sz w:val="32"/>
          <w:szCs w:val="32"/>
        </w:rPr>
        <w:t>拟定年度商务运行调控目标和措施，统计、分析商务数据，发布重要商务信息；参与协调商务运行中涉及财政、金融、税务、统计等领域的政策问题，并组织实施。</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（四）</w:t>
      </w:r>
      <w:r>
        <w:rPr>
          <w:rFonts w:hint="eastAsia" w:ascii="仿宋_GB2312" w:eastAsia="仿宋_GB2312"/>
          <w:sz w:val="32"/>
          <w:szCs w:val="32"/>
        </w:rPr>
        <w:t>综合协调和指导全县外经贸工作，宏观管理全县进出口工作；按照国家规定的分管权限呈报、审批、管理全县外贸企业单位；负责进出口经营权的备案登记；宏观指导和归口管理境内外外经贸交易会、展销会、洽谈会。促进贸易增长方式转变，指导和协调贸易促进体系建设；负责推动企业开拓多元化国际市场，执行国家进出口商品、加工贸易管理办法和进出口管理商品、技术目录；负责管理机电产品进出口工作；指导和协调加工贸易工作。</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（五）</w:t>
      </w:r>
      <w:r>
        <w:rPr>
          <w:rFonts w:hint="eastAsia" w:ascii="仿宋_GB2312" w:eastAsia="仿宋_GB2312"/>
          <w:sz w:val="32"/>
          <w:szCs w:val="32"/>
        </w:rPr>
        <w:t>负责利用外资和引进省外资金工作。依照所属权限依法</w:t>
      </w:r>
      <w:r>
        <w:rPr>
          <w:rFonts w:hint="eastAsia" w:ascii="仿宋_GB2312" w:eastAsia="仿宋_GB2312"/>
          <w:sz w:val="32"/>
          <w:szCs w:val="32"/>
          <w:lang w:eastAsia="zh-CN"/>
        </w:rPr>
        <w:t>对</w:t>
      </w:r>
      <w:r>
        <w:rPr>
          <w:rFonts w:hint="eastAsia" w:ascii="仿宋_GB2312" w:eastAsia="仿宋_GB2312"/>
          <w:sz w:val="32"/>
          <w:szCs w:val="32"/>
        </w:rPr>
        <w:t>全县外商投资项目的合同章程和法律特别规定的重大变更事项</w:t>
      </w:r>
      <w:r>
        <w:rPr>
          <w:rFonts w:hint="eastAsia" w:ascii="仿宋_GB2312" w:eastAsia="仿宋_GB2312"/>
          <w:sz w:val="32"/>
          <w:szCs w:val="32"/>
          <w:lang w:eastAsia="zh-CN"/>
        </w:rPr>
        <w:t>备案</w:t>
      </w:r>
      <w:r>
        <w:rPr>
          <w:rFonts w:hint="eastAsia" w:ascii="仿宋_GB2312" w:eastAsia="仿宋_GB2312"/>
          <w:sz w:val="32"/>
          <w:szCs w:val="32"/>
        </w:rPr>
        <w:t>；依法监督检查外商投资企业执行有关法律、法规、规章、合同章程的情况并协助解决有关问题。</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（六）</w:t>
      </w:r>
      <w:r>
        <w:rPr>
          <w:rFonts w:hint="eastAsia" w:ascii="仿宋_GB2312" w:eastAsia="仿宋_GB2312"/>
          <w:sz w:val="32"/>
          <w:szCs w:val="32"/>
        </w:rPr>
        <w:t>负责重大招商活动组织协调和重大引资项目协调推进工作；负责全县招商引资年度目标任务的分解下达及完成情况的检查、督促和考核工作；负责建立、完善相关的工作制度，强化招商引资目标管理工作；负责组织招商引资单位开展或参加招商引资活动；负责全县招商引资签约项目的情况调度，协调有关方面解决签约项目落实中的问题；负责全县招商引资的统计、报表、调研、督查工作；负责全县招商引资奖励办法的实施；负责对引荐外来投资项目的奖励审核和兑现工作；协助落实优化投资环境有关工作，为来我县投资者及在我县投资企业提供政策咨询和协调服务工作。</w:t>
      </w:r>
    </w:p>
    <w:p>
      <w:pPr>
        <w:spacing w:line="480" w:lineRule="auto"/>
        <w:ind w:firstLine="640" w:firstLineChars="200"/>
        <w:rPr>
          <w:rFonts w:hint="eastAsia" w:ascii="仿宋_GB2312" w:hAnsi="仿宋_GB2312" w:eastAsia="仿宋_GB2312" w:cs="仿宋_GB2312"/>
          <w:sz w:val="32"/>
          <w:szCs w:val="32"/>
        </w:rPr>
      </w:pPr>
      <w:r>
        <w:rPr>
          <w:rFonts w:hint="eastAsia" w:ascii="仿宋_GB2312" w:eastAsia="仿宋_GB2312"/>
          <w:sz w:val="32"/>
          <w:szCs w:val="32"/>
          <w:lang w:val="en-US" w:eastAsia="zh-CN"/>
        </w:rPr>
        <w:t>（七）</w:t>
      </w:r>
      <w:r>
        <w:rPr>
          <w:rFonts w:hint="eastAsia" w:ascii="仿宋_GB2312" w:eastAsia="仿宋_GB2312"/>
          <w:sz w:val="32"/>
          <w:szCs w:val="32"/>
        </w:rPr>
        <w:t>承办县委、县政府交办的其他事项。</w:t>
      </w:r>
    </w:p>
    <w:p>
      <w:pPr>
        <w:ind w:firstLine="630"/>
        <w:jc w:val="left"/>
        <w:rPr>
          <w:rFonts w:hint="eastAsia" w:ascii="黑体" w:hAnsi="黑体" w:eastAsia="黑体"/>
          <w:sz w:val="30"/>
          <w:szCs w:val="30"/>
        </w:rPr>
      </w:pPr>
      <w:r>
        <w:rPr>
          <w:rFonts w:hint="eastAsia" w:ascii="黑体" w:hAnsi="黑体" w:eastAsia="黑体"/>
          <w:sz w:val="30"/>
          <w:szCs w:val="30"/>
        </w:rPr>
        <w:t>二、部门基本情况</w:t>
      </w:r>
    </w:p>
    <w:p>
      <w:pPr>
        <w:ind w:firstLine="600" w:firstLineChars="200"/>
        <w:rPr>
          <w:rFonts w:hint="eastAsia" w:ascii="仿宋_GB2312" w:eastAsia="仿宋_GB2312"/>
          <w:sz w:val="32"/>
          <w:szCs w:val="32"/>
        </w:rPr>
      </w:pPr>
      <w:r>
        <w:rPr>
          <w:rFonts w:hint="eastAsia" w:ascii="仿宋_GB2312" w:hAnsi="仿宋_GB2312" w:eastAsia="仿宋_GB2312" w:cs="仿宋_GB2312"/>
          <w:sz w:val="30"/>
          <w:szCs w:val="30"/>
        </w:rPr>
        <w:t>纳入本套部门决算汇编范围的单位共</w:t>
      </w:r>
      <w:r>
        <w:rPr>
          <w:rFonts w:hint="eastAsia" w:ascii="仿宋_GB2312" w:eastAsia="仿宋_GB2312"/>
          <w:sz w:val="32"/>
          <w:szCs w:val="32"/>
        </w:rPr>
        <w:t>1个，包括局本级1个。</w:t>
      </w:r>
      <w:r>
        <w:rPr>
          <w:rFonts w:hint="eastAsia" w:ascii="仿宋_GB2312" w:eastAsia="仿宋_GB2312"/>
          <w:sz w:val="32"/>
          <w:szCs w:val="32"/>
          <w:lang w:eastAsia="zh-CN"/>
        </w:rPr>
        <w:t>本部门</w:t>
      </w:r>
      <w:r>
        <w:rPr>
          <w:rFonts w:hint="eastAsia" w:ascii="仿宋_GB2312" w:eastAsia="仿宋_GB2312"/>
          <w:sz w:val="32"/>
          <w:szCs w:val="32"/>
          <w:lang w:val="en-US" w:eastAsia="zh-CN"/>
        </w:rPr>
        <w:t>2017年年末</w:t>
      </w:r>
      <w:r>
        <w:rPr>
          <w:rFonts w:hint="eastAsia" w:ascii="仿宋_GB2312" w:eastAsia="仿宋_GB2312"/>
          <w:sz w:val="32"/>
          <w:szCs w:val="32"/>
        </w:rPr>
        <w:t>编制人数</w:t>
      </w:r>
      <w:r>
        <w:rPr>
          <w:rFonts w:hint="eastAsia" w:ascii="仿宋_GB2312" w:eastAsia="仿宋_GB2312"/>
          <w:sz w:val="32"/>
          <w:szCs w:val="32"/>
          <w:lang w:val="en-US" w:eastAsia="zh-CN"/>
        </w:rPr>
        <w:t>10</w:t>
      </w:r>
      <w:r>
        <w:rPr>
          <w:rFonts w:hint="eastAsia" w:ascii="仿宋_GB2312" w:eastAsia="仿宋_GB2312"/>
          <w:sz w:val="32"/>
          <w:szCs w:val="32"/>
        </w:rPr>
        <w:t>人，其中</w:t>
      </w:r>
      <w:r>
        <w:rPr>
          <w:rFonts w:hint="eastAsia" w:ascii="仿宋_GB2312" w:eastAsia="仿宋_GB2312"/>
          <w:sz w:val="32"/>
          <w:szCs w:val="32"/>
          <w:lang w:eastAsia="zh-CN"/>
        </w:rPr>
        <w:t>：</w:t>
      </w:r>
      <w:r>
        <w:rPr>
          <w:rFonts w:hint="eastAsia" w:ascii="仿宋_GB2312" w:eastAsia="仿宋_GB2312"/>
          <w:sz w:val="32"/>
          <w:szCs w:val="32"/>
        </w:rPr>
        <w:t>参公管理的事业编制</w:t>
      </w:r>
      <w:r>
        <w:rPr>
          <w:rFonts w:hint="eastAsia" w:ascii="仿宋_GB2312" w:eastAsia="仿宋_GB2312"/>
          <w:sz w:val="32"/>
          <w:szCs w:val="32"/>
          <w:lang w:val="en-US" w:eastAsia="zh-CN"/>
        </w:rPr>
        <w:t>8</w:t>
      </w:r>
      <w:r>
        <w:rPr>
          <w:rFonts w:hint="eastAsia" w:ascii="仿宋_GB2312" w:eastAsia="仿宋_GB2312"/>
          <w:sz w:val="32"/>
          <w:szCs w:val="32"/>
        </w:rPr>
        <w:t>人，全额</w:t>
      </w:r>
      <w:r>
        <w:rPr>
          <w:rFonts w:hint="eastAsia" w:ascii="仿宋_GB2312" w:eastAsia="仿宋_GB2312"/>
          <w:sz w:val="32"/>
          <w:szCs w:val="32"/>
          <w:lang w:eastAsia="zh-CN"/>
        </w:rPr>
        <w:t>补助</w:t>
      </w:r>
      <w:r>
        <w:rPr>
          <w:rFonts w:hint="eastAsia" w:ascii="仿宋_GB2312" w:eastAsia="仿宋_GB2312"/>
          <w:sz w:val="32"/>
          <w:szCs w:val="32"/>
        </w:rPr>
        <w:t>事业编制2人</w:t>
      </w:r>
      <w:r>
        <w:rPr>
          <w:rFonts w:hint="eastAsia" w:ascii="仿宋_GB2312" w:eastAsia="仿宋_GB2312"/>
          <w:sz w:val="32"/>
          <w:szCs w:val="32"/>
          <w:lang w:eastAsia="zh-CN"/>
        </w:rPr>
        <w:t>。</w:t>
      </w:r>
      <w:r>
        <w:rPr>
          <w:rFonts w:hint="eastAsia" w:ascii="仿宋_GB2312" w:eastAsia="仿宋_GB2312"/>
          <w:sz w:val="32"/>
          <w:szCs w:val="32"/>
        </w:rPr>
        <w:t>实有人数</w:t>
      </w:r>
      <w:r>
        <w:rPr>
          <w:rFonts w:hint="eastAsia" w:ascii="仿宋_GB2312" w:eastAsia="仿宋_GB2312"/>
          <w:sz w:val="32"/>
          <w:szCs w:val="32"/>
          <w:lang w:val="en-US" w:eastAsia="zh-CN"/>
        </w:rPr>
        <w:t>20</w:t>
      </w:r>
      <w:r>
        <w:rPr>
          <w:rFonts w:hint="eastAsia" w:ascii="仿宋_GB2312" w:eastAsia="仿宋_GB2312"/>
          <w:sz w:val="32"/>
          <w:szCs w:val="32"/>
        </w:rPr>
        <w:t>人，其中：在职人数</w:t>
      </w:r>
      <w:r>
        <w:rPr>
          <w:rFonts w:hint="eastAsia" w:ascii="仿宋_GB2312" w:eastAsia="仿宋_GB2312"/>
          <w:sz w:val="32"/>
          <w:szCs w:val="32"/>
          <w:lang w:val="en-US" w:eastAsia="zh-CN"/>
        </w:rPr>
        <w:t>14</w:t>
      </w:r>
      <w:r>
        <w:rPr>
          <w:rFonts w:hint="eastAsia" w:ascii="仿宋_GB2312" w:eastAsia="仿宋_GB2312"/>
          <w:sz w:val="32"/>
          <w:szCs w:val="32"/>
        </w:rPr>
        <w:t>人</w:t>
      </w:r>
      <w:r>
        <w:rPr>
          <w:rFonts w:hint="eastAsia" w:ascii="仿宋_GB2312" w:eastAsia="仿宋_GB2312"/>
          <w:sz w:val="32"/>
          <w:szCs w:val="32"/>
          <w:lang w:eastAsia="zh-CN"/>
        </w:rPr>
        <w:t>，包括</w:t>
      </w:r>
      <w:r>
        <w:rPr>
          <w:rFonts w:hint="eastAsia" w:ascii="仿宋_GB2312" w:eastAsia="仿宋_GB2312"/>
          <w:sz w:val="32"/>
          <w:szCs w:val="32"/>
        </w:rPr>
        <w:t>参公管理的事业编制</w:t>
      </w:r>
      <w:r>
        <w:rPr>
          <w:rFonts w:hint="eastAsia" w:ascii="仿宋_GB2312" w:eastAsia="仿宋_GB2312"/>
          <w:sz w:val="32"/>
          <w:szCs w:val="32"/>
          <w:lang w:val="en-US" w:eastAsia="zh-CN"/>
        </w:rPr>
        <w:t>11</w:t>
      </w:r>
      <w:r>
        <w:rPr>
          <w:rFonts w:hint="eastAsia" w:ascii="仿宋_GB2312" w:eastAsia="仿宋_GB2312"/>
          <w:sz w:val="32"/>
          <w:szCs w:val="32"/>
        </w:rPr>
        <w:t>人</w:t>
      </w:r>
      <w:r>
        <w:rPr>
          <w:rFonts w:hint="eastAsia" w:ascii="仿宋_GB2312" w:eastAsia="仿宋_GB2312"/>
          <w:sz w:val="32"/>
          <w:szCs w:val="32"/>
          <w:lang w:eastAsia="zh-CN"/>
        </w:rPr>
        <w:t>，</w:t>
      </w:r>
      <w:r>
        <w:rPr>
          <w:rFonts w:hint="eastAsia" w:ascii="仿宋_GB2312" w:eastAsia="仿宋_GB2312"/>
          <w:sz w:val="32"/>
          <w:szCs w:val="32"/>
        </w:rPr>
        <w:t>全额</w:t>
      </w:r>
      <w:r>
        <w:rPr>
          <w:rFonts w:hint="eastAsia" w:ascii="仿宋_GB2312" w:eastAsia="仿宋_GB2312"/>
          <w:sz w:val="32"/>
          <w:szCs w:val="32"/>
          <w:lang w:eastAsia="zh-CN"/>
        </w:rPr>
        <w:t>补助</w:t>
      </w:r>
      <w:r>
        <w:rPr>
          <w:rFonts w:hint="eastAsia" w:ascii="仿宋_GB2312" w:eastAsia="仿宋_GB2312"/>
          <w:sz w:val="32"/>
          <w:szCs w:val="32"/>
        </w:rPr>
        <w:t>事业编制</w:t>
      </w:r>
      <w:r>
        <w:rPr>
          <w:rFonts w:hint="eastAsia" w:ascii="仿宋_GB2312" w:eastAsia="仿宋_GB2312"/>
          <w:sz w:val="32"/>
          <w:szCs w:val="32"/>
          <w:lang w:val="en-US" w:eastAsia="zh-CN"/>
        </w:rPr>
        <w:t>3</w:t>
      </w:r>
      <w:r>
        <w:rPr>
          <w:rFonts w:hint="eastAsia" w:ascii="仿宋_GB2312" w:eastAsia="仿宋_GB2312"/>
          <w:sz w:val="32"/>
          <w:szCs w:val="32"/>
        </w:rPr>
        <w:t>人</w:t>
      </w:r>
      <w:r>
        <w:rPr>
          <w:rFonts w:hint="eastAsia" w:ascii="仿宋_GB2312" w:eastAsia="仿宋_GB2312"/>
          <w:sz w:val="32"/>
          <w:szCs w:val="32"/>
          <w:lang w:eastAsia="zh-CN"/>
        </w:rPr>
        <w:t>；离退休人员</w:t>
      </w:r>
      <w:r>
        <w:rPr>
          <w:rFonts w:hint="eastAsia" w:ascii="仿宋_GB2312" w:eastAsia="仿宋_GB2312"/>
          <w:sz w:val="32"/>
          <w:szCs w:val="32"/>
          <w:lang w:val="en-US" w:eastAsia="zh-CN"/>
        </w:rPr>
        <w:t>6人，包括</w:t>
      </w:r>
      <w:r>
        <w:rPr>
          <w:rFonts w:hint="eastAsia" w:ascii="仿宋_GB2312" w:eastAsia="仿宋_GB2312"/>
          <w:sz w:val="32"/>
          <w:szCs w:val="32"/>
          <w:lang w:eastAsia="zh-CN"/>
        </w:rPr>
        <w:t>离休人员</w:t>
      </w:r>
      <w:r>
        <w:rPr>
          <w:rFonts w:hint="eastAsia" w:ascii="仿宋_GB2312" w:eastAsia="仿宋_GB2312"/>
          <w:sz w:val="32"/>
          <w:szCs w:val="32"/>
          <w:lang w:val="en-US" w:eastAsia="zh-CN"/>
        </w:rPr>
        <w:t>1人，</w:t>
      </w:r>
      <w:r>
        <w:rPr>
          <w:rFonts w:hint="eastAsia" w:ascii="仿宋_GB2312" w:eastAsia="仿宋_GB2312"/>
          <w:sz w:val="32"/>
          <w:szCs w:val="32"/>
        </w:rPr>
        <w:t>退休人员</w:t>
      </w:r>
      <w:r>
        <w:rPr>
          <w:rFonts w:hint="eastAsia" w:ascii="仿宋_GB2312" w:eastAsia="仿宋_GB2312"/>
          <w:sz w:val="32"/>
          <w:szCs w:val="32"/>
          <w:lang w:val="en-US" w:eastAsia="zh-CN"/>
        </w:rPr>
        <w:t>5</w:t>
      </w:r>
      <w:r>
        <w:rPr>
          <w:rFonts w:hint="eastAsia" w:ascii="仿宋_GB2312" w:eastAsia="仿宋_GB2312"/>
          <w:sz w:val="32"/>
          <w:szCs w:val="32"/>
        </w:rPr>
        <w:t>人。</w:t>
      </w:r>
    </w:p>
    <w:p>
      <w:pPr>
        <w:widowControl/>
        <w:spacing w:line="600" w:lineRule="exact"/>
        <w:jc w:val="both"/>
        <w:rPr>
          <w:rFonts w:hint="eastAsia" w:ascii="宋体" w:hAnsi="宋体"/>
          <w:b/>
          <w:sz w:val="32"/>
          <w:szCs w:val="32"/>
        </w:rPr>
      </w:pPr>
    </w:p>
    <w:p>
      <w:pPr>
        <w:widowControl/>
        <w:spacing w:line="600" w:lineRule="exact"/>
        <w:jc w:val="both"/>
        <w:rPr>
          <w:rFonts w:hint="eastAsia" w:ascii="宋体" w:hAnsi="宋体"/>
          <w:b/>
          <w:sz w:val="32"/>
          <w:szCs w:val="32"/>
        </w:rPr>
      </w:pPr>
    </w:p>
    <w:p>
      <w:pPr>
        <w:widowControl/>
        <w:spacing w:line="600" w:lineRule="exact"/>
        <w:ind w:firstLine="640"/>
        <w:jc w:val="center"/>
        <w:rPr>
          <w:rFonts w:hint="eastAsia" w:ascii="宋体" w:hAnsi="宋体"/>
          <w:b/>
          <w:sz w:val="32"/>
          <w:szCs w:val="32"/>
        </w:rPr>
      </w:pPr>
      <w:r>
        <w:rPr>
          <w:rFonts w:hint="eastAsia" w:ascii="宋体" w:hAnsi="宋体"/>
          <w:b/>
          <w:sz w:val="32"/>
          <w:szCs w:val="32"/>
        </w:rPr>
        <w:t>第二部分  2017年度部门决算表</w:t>
      </w:r>
    </w:p>
    <w:p>
      <w:pPr>
        <w:autoSpaceDE w:val="0"/>
        <w:autoSpaceDN w:val="0"/>
        <w:adjustRightInd w:val="0"/>
        <w:spacing w:line="360" w:lineRule="auto"/>
        <w:jc w:val="left"/>
        <w:rPr>
          <w:rFonts w:hint="eastAsia"/>
          <w:szCs w:val="30"/>
        </w:rPr>
      </w:pPr>
    </w:p>
    <w:p>
      <w:pPr>
        <w:autoSpaceDE w:val="0"/>
        <w:autoSpaceDN w:val="0"/>
        <w:adjustRightInd w:val="0"/>
        <w:spacing w:line="360" w:lineRule="auto"/>
        <w:jc w:val="left"/>
      </w:pPr>
      <w:r>
        <w:drawing>
          <wp:inline distT="0" distB="0" distL="114300" distR="114300">
            <wp:extent cx="5271135" cy="4217035"/>
            <wp:effectExtent l="0" t="0" r="5715" b="12065"/>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r:embed="rId6"/>
                    <a:stretch>
                      <a:fillRect/>
                    </a:stretch>
                  </pic:blipFill>
                  <pic:spPr>
                    <a:xfrm>
                      <a:off x="0" y="0"/>
                      <a:ext cx="5271135" cy="4217035"/>
                    </a:xfrm>
                    <a:prstGeom prst="rect">
                      <a:avLst/>
                    </a:prstGeom>
                    <a:noFill/>
                    <a:ln w="9525">
                      <a:noFill/>
                    </a:ln>
                  </pic:spPr>
                </pic:pic>
              </a:graphicData>
            </a:graphic>
          </wp:inline>
        </w:drawing>
      </w:r>
    </w:p>
    <w:p>
      <w:pPr>
        <w:autoSpaceDE w:val="0"/>
        <w:autoSpaceDN w:val="0"/>
        <w:adjustRightInd w:val="0"/>
        <w:spacing w:line="360" w:lineRule="auto"/>
        <w:jc w:val="left"/>
        <w:rPr>
          <w:rFonts w:hint="eastAsia"/>
        </w:rPr>
      </w:pPr>
      <w:r>
        <w:drawing>
          <wp:inline distT="0" distB="0" distL="114300" distR="114300">
            <wp:extent cx="5270500" cy="2546985"/>
            <wp:effectExtent l="0" t="0" r="6350" b="5715"/>
            <wp:docPr id="2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1"/>
                    <pic:cNvPicPr>
                      <a:picLocks noChangeAspect="1"/>
                    </pic:cNvPicPr>
                  </pic:nvPicPr>
                  <pic:blipFill>
                    <a:blip r:embed="rId7"/>
                    <a:stretch>
                      <a:fillRect/>
                    </a:stretch>
                  </pic:blipFill>
                  <pic:spPr>
                    <a:xfrm>
                      <a:off x="0" y="0"/>
                      <a:ext cx="5270500" cy="2546985"/>
                    </a:xfrm>
                    <a:prstGeom prst="rect">
                      <a:avLst/>
                    </a:prstGeom>
                    <a:noFill/>
                    <a:ln w="9525">
                      <a:noFill/>
                    </a:ln>
                  </pic:spPr>
                </pic:pic>
              </a:graphicData>
            </a:graphic>
          </wp:inline>
        </w:drawing>
      </w:r>
    </w:p>
    <w:p>
      <w:pPr>
        <w:autoSpaceDE w:val="0"/>
        <w:autoSpaceDN w:val="0"/>
        <w:adjustRightInd w:val="0"/>
        <w:spacing w:line="360" w:lineRule="auto"/>
        <w:jc w:val="left"/>
        <w:rPr>
          <w:rFonts w:hint="eastAsia" w:ascii="仿宋" w:hAnsi="仿宋" w:eastAsia="仿宋" w:cs="仿宋_GB2312"/>
          <w:kern w:val="0"/>
          <w:sz w:val="30"/>
          <w:szCs w:val="30"/>
        </w:rPr>
      </w:pPr>
      <w:r>
        <w:drawing>
          <wp:inline distT="0" distB="0" distL="114300" distR="114300">
            <wp:extent cx="5266055" cy="2839720"/>
            <wp:effectExtent l="0" t="0" r="10795" b="17780"/>
            <wp:docPr id="1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3"/>
                    <pic:cNvPicPr>
                      <a:picLocks noChangeAspect="1"/>
                    </pic:cNvPicPr>
                  </pic:nvPicPr>
                  <pic:blipFill>
                    <a:blip r:embed="rId8"/>
                    <a:stretch>
                      <a:fillRect/>
                    </a:stretch>
                  </pic:blipFill>
                  <pic:spPr>
                    <a:xfrm>
                      <a:off x="0" y="0"/>
                      <a:ext cx="5266055" cy="2839720"/>
                    </a:xfrm>
                    <a:prstGeom prst="rect">
                      <a:avLst/>
                    </a:prstGeom>
                    <a:noFill/>
                    <a:ln w="9525">
                      <a:noFill/>
                    </a:ln>
                  </pic:spPr>
                </pic:pic>
              </a:graphicData>
            </a:graphic>
          </wp:inline>
        </w:drawing>
      </w:r>
    </w:p>
    <w:p>
      <w:pPr>
        <w:autoSpaceDE w:val="0"/>
        <w:autoSpaceDN w:val="0"/>
        <w:adjustRightInd w:val="0"/>
        <w:spacing w:line="360" w:lineRule="auto"/>
        <w:jc w:val="left"/>
        <w:rPr>
          <w:rFonts w:hint="eastAsia" w:ascii="仿宋" w:hAnsi="仿宋" w:eastAsia="仿宋" w:cs="仿宋_GB2312"/>
          <w:kern w:val="0"/>
          <w:sz w:val="30"/>
          <w:szCs w:val="30"/>
        </w:rPr>
      </w:pPr>
      <w:r>
        <w:rPr>
          <w:rFonts w:hint="eastAsia" w:ascii="仿宋" w:hAnsi="仿宋" w:eastAsia="仿宋" w:cs="仿宋_GB2312"/>
          <w:kern w:val="0"/>
          <w:sz w:val="30"/>
          <w:szCs w:val="30"/>
        </w:rPr>
        <w:t xml:space="preserve"> </w:t>
      </w:r>
      <w:r>
        <w:drawing>
          <wp:inline distT="0" distB="0" distL="114300" distR="114300">
            <wp:extent cx="5273675" cy="3912870"/>
            <wp:effectExtent l="0" t="0" r="3175" b="11430"/>
            <wp:docPr id="1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pic:cNvPicPr>
                      <a:picLocks noChangeAspect="1"/>
                    </pic:cNvPicPr>
                  </pic:nvPicPr>
                  <pic:blipFill>
                    <a:blip r:embed="rId9"/>
                    <a:stretch>
                      <a:fillRect/>
                    </a:stretch>
                  </pic:blipFill>
                  <pic:spPr>
                    <a:xfrm>
                      <a:off x="0" y="0"/>
                      <a:ext cx="5273675" cy="3912870"/>
                    </a:xfrm>
                    <a:prstGeom prst="rect">
                      <a:avLst/>
                    </a:prstGeom>
                    <a:noFill/>
                    <a:ln w="9525">
                      <a:noFill/>
                    </a:ln>
                  </pic:spPr>
                </pic:pic>
              </a:graphicData>
            </a:graphic>
          </wp:inline>
        </w:drawing>
      </w:r>
    </w:p>
    <w:p>
      <w:pPr>
        <w:autoSpaceDE w:val="0"/>
        <w:autoSpaceDN w:val="0"/>
        <w:adjustRightInd w:val="0"/>
        <w:spacing w:line="360" w:lineRule="auto"/>
        <w:jc w:val="left"/>
        <w:rPr>
          <w:rFonts w:hint="eastAsia" w:ascii="仿宋" w:hAnsi="仿宋" w:eastAsia="仿宋" w:cs="仿宋_GB2312"/>
          <w:kern w:val="0"/>
          <w:sz w:val="30"/>
          <w:szCs w:val="30"/>
        </w:rPr>
      </w:pPr>
    </w:p>
    <w:p>
      <w:pPr>
        <w:autoSpaceDE w:val="0"/>
        <w:autoSpaceDN w:val="0"/>
        <w:adjustRightInd w:val="0"/>
        <w:spacing w:line="360" w:lineRule="auto"/>
        <w:jc w:val="left"/>
        <w:rPr>
          <w:rFonts w:hint="eastAsia"/>
          <w:szCs w:val="30"/>
        </w:rPr>
      </w:pPr>
    </w:p>
    <w:p>
      <w:pPr>
        <w:autoSpaceDE w:val="0"/>
        <w:autoSpaceDN w:val="0"/>
        <w:adjustRightInd w:val="0"/>
        <w:spacing w:line="360" w:lineRule="auto"/>
        <w:jc w:val="left"/>
        <w:rPr>
          <w:rFonts w:hint="eastAsia"/>
          <w:szCs w:val="30"/>
        </w:rPr>
      </w:pPr>
    </w:p>
    <w:p>
      <w:pPr>
        <w:autoSpaceDE w:val="0"/>
        <w:autoSpaceDN w:val="0"/>
        <w:adjustRightInd w:val="0"/>
        <w:spacing w:line="360" w:lineRule="auto"/>
        <w:jc w:val="left"/>
        <w:rPr>
          <w:rFonts w:hint="eastAsia" w:ascii="仿宋" w:hAnsi="仿宋" w:eastAsia="仿宋" w:cs="仿宋_GB2312"/>
          <w:kern w:val="0"/>
          <w:sz w:val="30"/>
          <w:szCs w:val="30"/>
        </w:rPr>
      </w:pPr>
      <w:r>
        <w:drawing>
          <wp:inline distT="0" distB="0" distL="114300" distR="114300">
            <wp:extent cx="5269865" cy="3810000"/>
            <wp:effectExtent l="0" t="0" r="6985" b="0"/>
            <wp:docPr id="1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
                    <pic:cNvPicPr>
                      <a:picLocks noChangeAspect="1"/>
                    </pic:cNvPicPr>
                  </pic:nvPicPr>
                  <pic:blipFill>
                    <a:blip r:embed="rId10"/>
                    <a:stretch>
                      <a:fillRect/>
                    </a:stretch>
                  </pic:blipFill>
                  <pic:spPr>
                    <a:xfrm>
                      <a:off x="0" y="0"/>
                      <a:ext cx="5269865" cy="3810000"/>
                    </a:xfrm>
                    <a:prstGeom prst="rect">
                      <a:avLst/>
                    </a:prstGeom>
                    <a:noFill/>
                    <a:ln w="9525">
                      <a:noFill/>
                    </a:ln>
                  </pic:spPr>
                </pic:pic>
              </a:graphicData>
            </a:graphic>
          </wp:inline>
        </w:drawing>
      </w:r>
    </w:p>
    <w:p>
      <w:pPr>
        <w:autoSpaceDE w:val="0"/>
        <w:autoSpaceDN w:val="0"/>
        <w:adjustRightInd w:val="0"/>
        <w:spacing w:line="360" w:lineRule="auto"/>
        <w:jc w:val="left"/>
        <w:rPr>
          <w:rFonts w:hint="eastAsia"/>
          <w:szCs w:val="30"/>
        </w:rPr>
      </w:pPr>
      <w:r>
        <w:drawing>
          <wp:inline distT="0" distB="0" distL="114300" distR="114300">
            <wp:extent cx="5270500" cy="5402580"/>
            <wp:effectExtent l="0" t="0" r="6350" b="7620"/>
            <wp:docPr id="1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6"/>
                    <pic:cNvPicPr>
                      <a:picLocks noChangeAspect="1"/>
                    </pic:cNvPicPr>
                  </pic:nvPicPr>
                  <pic:blipFill>
                    <a:blip r:embed="rId11"/>
                    <a:stretch>
                      <a:fillRect/>
                    </a:stretch>
                  </pic:blipFill>
                  <pic:spPr>
                    <a:xfrm>
                      <a:off x="0" y="0"/>
                      <a:ext cx="5270500" cy="5402580"/>
                    </a:xfrm>
                    <a:prstGeom prst="rect">
                      <a:avLst/>
                    </a:prstGeom>
                    <a:noFill/>
                    <a:ln w="9525">
                      <a:noFill/>
                    </a:ln>
                  </pic:spPr>
                </pic:pic>
              </a:graphicData>
            </a:graphic>
          </wp:inline>
        </w:drawing>
      </w:r>
    </w:p>
    <w:p>
      <w:pPr>
        <w:autoSpaceDE w:val="0"/>
        <w:autoSpaceDN w:val="0"/>
        <w:adjustRightInd w:val="0"/>
        <w:spacing w:line="360" w:lineRule="auto"/>
        <w:jc w:val="left"/>
        <w:rPr>
          <w:rFonts w:hint="eastAsia"/>
          <w:szCs w:val="30"/>
        </w:rPr>
      </w:pPr>
      <w:r>
        <w:drawing>
          <wp:inline distT="0" distB="0" distL="114300" distR="114300">
            <wp:extent cx="5269230" cy="4844415"/>
            <wp:effectExtent l="0" t="0" r="7620" b="13335"/>
            <wp:docPr id="1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7"/>
                    <pic:cNvPicPr>
                      <a:picLocks noChangeAspect="1"/>
                    </pic:cNvPicPr>
                  </pic:nvPicPr>
                  <pic:blipFill>
                    <a:blip r:embed="rId12"/>
                    <a:stretch>
                      <a:fillRect/>
                    </a:stretch>
                  </pic:blipFill>
                  <pic:spPr>
                    <a:xfrm>
                      <a:off x="0" y="0"/>
                      <a:ext cx="5269230" cy="4844415"/>
                    </a:xfrm>
                    <a:prstGeom prst="rect">
                      <a:avLst/>
                    </a:prstGeom>
                    <a:noFill/>
                    <a:ln w="9525">
                      <a:noFill/>
                    </a:ln>
                  </pic:spPr>
                </pic:pic>
              </a:graphicData>
            </a:graphic>
          </wp:inline>
        </w:drawing>
      </w:r>
      <w:r>
        <w:rPr>
          <w:rFonts w:hint="eastAsia"/>
          <w:lang w:val="en-US" w:eastAsia="zh-CN"/>
        </w:rPr>
        <w:t xml:space="preserve"> </w:t>
      </w:r>
      <w:r>
        <w:drawing>
          <wp:inline distT="0" distB="0" distL="114300" distR="114300">
            <wp:extent cx="5272405" cy="1579245"/>
            <wp:effectExtent l="0" t="0" r="4445" b="1905"/>
            <wp:docPr id="2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0"/>
                    <pic:cNvPicPr>
                      <a:picLocks noChangeAspect="1"/>
                    </pic:cNvPicPr>
                  </pic:nvPicPr>
                  <pic:blipFill>
                    <a:blip r:embed="rId13"/>
                    <a:stretch>
                      <a:fillRect/>
                    </a:stretch>
                  </pic:blipFill>
                  <pic:spPr>
                    <a:xfrm>
                      <a:off x="0" y="0"/>
                      <a:ext cx="5272405" cy="1579245"/>
                    </a:xfrm>
                    <a:prstGeom prst="rect">
                      <a:avLst/>
                    </a:prstGeom>
                    <a:noFill/>
                    <a:ln w="9525">
                      <a:noFill/>
                    </a:ln>
                  </pic:spPr>
                </pic:pic>
              </a:graphicData>
            </a:graphic>
          </wp:inline>
        </w:drawing>
      </w:r>
      <w:r>
        <w:drawing>
          <wp:inline distT="0" distB="0" distL="114300" distR="114300">
            <wp:extent cx="5271135" cy="2349500"/>
            <wp:effectExtent l="0" t="0" r="5715" b="12700"/>
            <wp:docPr id="1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8"/>
                    <pic:cNvPicPr>
                      <a:picLocks noChangeAspect="1"/>
                    </pic:cNvPicPr>
                  </pic:nvPicPr>
                  <pic:blipFill>
                    <a:blip r:embed="rId14"/>
                    <a:stretch>
                      <a:fillRect/>
                    </a:stretch>
                  </pic:blipFill>
                  <pic:spPr>
                    <a:xfrm>
                      <a:off x="0" y="0"/>
                      <a:ext cx="5271135" cy="2349500"/>
                    </a:xfrm>
                    <a:prstGeom prst="rect">
                      <a:avLst/>
                    </a:prstGeom>
                    <a:noFill/>
                    <a:ln w="9525">
                      <a:noFill/>
                    </a:ln>
                  </pic:spPr>
                </pic:pic>
              </a:graphicData>
            </a:graphic>
          </wp:inline>
        </w:drawing>
      </w:r>
    </w:p>
    <w:p>
      <w:pPr>
        <w:autoSpaceDE w:val="0"/>
        <w:autoSpaceDN w:val="0"/>
        <w:adjustRightInd w:val="0"/>
        <w:spacing w:line="360" w:lineRule="auto"/>
        <w:jc w:val="left"/>
        <w:rPr>
          <w:rFonts w:hint="eastAsia" w:ascii="仿宋" w:hAnsi="仿宋" w:eastAsia="仿宋" w:cs="仿宋_GB2312"/>
          <w:kern w:val="0"/>
          <w:sz w:val="30"/>
          <w:szCs w:val="30"/>
        </w:rPr>
      </w:pPr>
    </w:p>
    <w:p>
      <w:pPr>
        <w:widowControl/>
        <w:spacing w:line="600" w:lineRule="exact"/>
        <w:ind w:firstLine="640"/>
        <w:jc w:val="center"/>
        <w:rPr>
          <w:rFonts w:hint="eastAsia" w:ascii="宋体" w:hAnsi="宋体"/>
          <w:b/>
          <w:sz w:val="32"/>
          <w:szCs w:val="32"/>
        </w:rPr>
      </w:pPr>
    </w:p>
    <w:p>
      <w:pPr>
        <w:widowControl/>
        <w:spacing w:line="600" w:lineRule="exact"/>
        <w:ind w:firstLine="640"/>
        <w:jc w:val="center"/>
        <w:rPr>
          <w:rFonts w:hint="eastAsia" w:ascii="宋体" w:hAnsi="宋体"/>
          <w:b/>
          <w:sz w:val="32"/>
          <w:szCs w:val="32"/>
        </w:rPr>
      </w:pPr>
      <w:r>
        <w:rPr>
          <w:rFonts w:hint="eastAsia" w:ascii="宋体" w:hAnsi="宋体"/>
          <w:b/>
          <w:sz w:val="32"/>
          <w:szCs w:val="32"/>
        </w:rPr>
        <w:t>第三部分  2017年度部门决算情况说明</w:t>
      </w:r>
    </w:p>
    <w:p>
      <w:pPr>
        <w:ind w:firstLine="630"/>
        <w:jc w:val="left"/>
        <w:rPr>
          <w:rFonts w:hint="eastAsia" w:ascii="仿宋" w:hAnsi="仿宋" w:eastAsia="仿宋"/>
          <w:sz w:val="30"/>
          <w:szCs w:val="30"/>
        </w:rPr>
      </w:pPr>
    </w:p>
    <w:p>
      <w:pPr>
        <w:ind w:firstLine="630"/>
        <w:jc w:val="left"/>
        <w:rPr>
          <w:rFonts w:hint="eastAsia" w:ascii="黑体" w:hAnsi="黑体" w:eastAsia="黑体"/>
          <w:sz w:val="30"/>
          <w:szCs w:val="30"/>
        </w:rPr>
      </w:pPr>
      <w:r>
        <w:rPr>
          <w:rFonts w:hint="eastAsia" w:ascii="黑体" w:hAnsi="黑体" w:eastAsia="黑体"/>
          <w:sz w:val="30"/>
          <w:szCs w:val="30"/>
        </w:rPr>
        <w:t>一、收入决算情况说明</w:t>
      </w:r>
    </w:p>
    <w:p>
      <w:pPr>
        <w:ind w:firstLine="63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本部门2017年度收入总计</w:t>
      </w:r>
      <w:r>
        <w:rPr>
          <w:rFonts w:hint="eastAsia" w:ascii="仿宋_GB2312" w:hAnsi="仿宋_GB2312" w:eastAsia="仿宋_GB2312" w:cs="仿宋_GB2312"/>
          <w:sz w:val="32"/>
          <w:szCs w:val="32"/>
          <w:lang w:val="en-US" w:eastAsia="zh-CN"/>
        </w:rPr>
        <w:t>550.81</w:t>
      </w:r>
      <w:r>
        <w:rPr>
          <w:rFonts w:hint="eastAsia" w:ascii="仿宋_GB2312" w:hAnsi="仿宋_GB2312" w:eastAsia="仿宋_GB2312" w:cs="仿宋_GB2312"/>
          <w:sz w:val="32"/>
          <w:szCs w:val="32"/>
        </w:rPr>
        <w:t>万元，其中年初结转和结余</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与</w:t>
      </w:r>
      <w:r>
        <w:rPr>
          <w:rFonts w:hint="eastAsia" w:ascii="仿宋_GB2312" w:hAnsi="仿宋_GB2312" w:eastAsia="仿宋_GB2312" w:cs="仿宋_GB2312"/>
          <w:sz w:val="32"/>
          <w:szCs w:val="32"/>
          <w:lang w:val="en-US" w:eastAsia="zh-CN"/>
        </w:rPr>
        <w:t>2016年保持一致</w:t>
      </w:r>
      <w:r>
        <w:rPr>
          <w:rFonts w:hint="eastAsia" w:ascii="仿宋_GB2312" w:hAnsi="仿宋_GB2312" w:eastAsia="仿宋_GB2312" w:cs="仿宋_GB2312"/>
          <w:sz w:val="32"/>
          <w:szCs w:val="32"/>
        </w:rPr>
        <w:t>；本年收入合计</w:t>
      </w:r>
      <w:r>
        <w:rPr>
          <w:rFonts w:hint="eastAsia" w:ascii="仿宋_GB2312" w:hAnsi="仿宋_GB2312" w:eastAsia="仿宋_GB2312" w:cs="仿宋_GB2312"/>
          <w:sz w:val="32"/>
          <w:szCs w:val="32"/>
          <w:lang w:val="en-US" w:eastAsia="zh-CN"/>
        </w:rPr>
        <w:t>550.81</w:t>
      </w:r>
      <w:r>
        <w:rPr>
          <w:rFonts w:hint="eastAsia" w:ascii="仿宋_GB2312" w:hAnsi="仿宋_GB2312" w:eastAsia="仿宋_GB2312" w:cs="仿宋_GB2312"/>
          <w:sz w:val="32"/>
          <w:szCs w:val="32"/>
        </w:rPr>
        <w:t>万元，较2016年增加</w:t>
      </w:r>
      <w:r>
        <w:rPr>
          <w:rFonts w:hint="eastAsia" w:ascii="仿宋_GB2312" w:hAnsi="仿宋_GB2312" w:eastAsia="仿宋_GB2312" w:cs="仿宋_GB2312"/>
          <w:sz w:val="32"/>
          <w:szCs w:val="32"/>
          <w:lang w:val="en-US" w:eastAsia="zh-CN"/>
        </w:rPr>
        <w:t>217.07</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65.04</w:t>
      </w:r>
      <w:r>
        <w:rPr>
          <w:rFonts w:hint="eastAsia" w:ascii="仿宋_GB2312" w:hAnsi="仿宋_GB2312" w:eastAsia="仿宋_GB2312" w:cs="仿宋_GB2312"/>
          <w:sz w:val="32"/>
          <w:szCs w:val="32"/>
        </w:rPr>
        <w:t>%，主要原因是</w:t>
      </w:r>
      <w:r>
        <w:rPr>
          <w:rFonts w:hint="eastAsia" w:ascii="仿宋_GB2312" w:hAnsi="仿宋_GB2312" w:eastAsia="仿宋_GB2312" w:cs="仿宋_GB2312"/>
          <w:sz w:val="32"/>
          <w:szCs w:val="32"/>
          <w:lang w:val="en-US" w:eastAsia="zh-CN"/>
        </w:rPr>
        <w:t>：1、人员调入，2、增加对出口企业出口补贴。</w:t>
      </w:r>
    </w:p>
    <w:p>
      <w:pPr>
        <w:ind w:firstLine="630"/>
        <w:jc w:val="left"/>
        <w:rPr>
          <w:rFonts w:hint="eastAsia" w:ascii="仿宋" w:hAnsi="仿宋" w:eastAsia="仿宋"/>
          <w:sz w:val="30"/>
          <w:szCs w:val="30"/>
        </w:rPr>
      </w:pPr>
      <w:r>
        <w:rPr>
          <w:rFonts w:hint="eastAsia" w:ascii="仿宋_GB2312" w:hAnsi="仿宋_GB2312" w:eastAsia="仿宋_GB2312" w:cs="仿宋_GB2312"/>
          <w:sz w:val="32"/>
          <w:szCs w:val="32"/>
        </w:rPr>
        <w:t>本年收入的具体构成为：财政拨款收入</w:t>
      </w:r>
      <w:r>
        <w:rPr>
          <w:rFonts w:hint="eastAsia" w:ascii="仿宋_GB2312" w:hAnsi="仿宋_GB2312" w:eastAsia="仿宋_GB2312" w:cs="仿宋_GB2312"/>
          <w:sz w:val="32"/>
          <w:szCs w:val="32"/>
          <w:lang w:val="en-US" w:eastAsia="zh-CN"/>
        </w:rPr>
        <w:t>550.81</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r>
        <w:rPr>
          <w:rFonts w:hint="eastAsia" w:ascii="仿宋" w:hAnsi="仿宋" w:eastAsia="仿宋"/>
          <w:sz w:val="30"/>
          <w:szCs w:val="30"/>
        </w:rPr>
        <w:t xml:space="preserve">  </w:t>
      </w:r>
    </w:p>
    <w:p>
      <w:pPr>
        <w:ind w:firstLine="630"/>
        <w:jc w:val="left"/>
        <w:rPr>
          <w:rFonts w:hint="eastAsia" w:ascii="黑体" w:hAnsi="黑体" w:eastAsia="黑体"/>
          <w:sz w:val="30"/>
          <w:szCs w:val="30"/>
        </w:rPr>
      </w:pPr>
      <w:r>
        <w:rPr>
          <w:rFonts w:hint="eastAsia" w:ascii="黑体" w:hAnsi="黑体" w:eastAsia="黑体"/>
          <w:sz w:val="30"/>
          <w:szCs w:val="30"/>
        </w:rPr>
        <w:t>二、支出决算情况说明</w:t>
      </w:r>
    </w:p>
    <w:p>
      <w:pPr>
        <w:ind w:firstLine="63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本部门2017年度支出总计</w:t>
      </w:r>
      <w:r>
        <w:rPr>
          <w:rFonts w:hint="eastAsia" w:ascii="仿宋_GB2312" w:hAnsi="仿宋_GB2312" w:eastAsia="仿宋_GB2312" w:cs="仿宋_GB2312"/>
          <w:sz w:val="32"/>
          <w:szCs w:val="32"/>
          <w:lang w:val="en-US" w:eastAsia="zh-CN"/>
        </w:rPr>
        <w:t>550.81</w:t>
      </w:r>
      <w:r>
        <w:rPr>
          <w:rFonts w:hint="eastAsia" w:ascii="仿宋_GB2312" w:hAnsi="仿宋_GB2312" w:eastAsia="仿宋_GB2312" w:cs="仿宋_GB2312"/>
          <w:sz w:val="32"/>
          <w:szCs w:val="32"/>
        </w:rPr>
        <w:t>万元，其中本年支出合计</w:t>
      </w:r>
      <w:r>
        <w:rPr>
          <w:rFonts w:hint="eastAsia" w:ascii="仿宋_GB2312" w:hAnsi="仿宋_GB2312" w:eastAsia="仿宋_GB2312" w:cs="仿宋_GB2312"/>
          <w:sz w:val="32"/>
          <w:szCs w:val="32"/>
          <w:lang w:val="en-US" w:eastAsia="zh-CN"/>
        </w:rPr>
        <w:t>550.81</w:t>
      </w:r>
      <w:r>
        <w:rPr>
          <w:rFonts w:hint="eastAsia" w:ascii="仿宋_GB2312" w:hAnsi="仿宋_GB2312" w:eastAsia="仿宋_GB2312" w:cs="仿宋_GB2312"/>
          <w:sz w:val="32"/>
          <w:szCs w:val="32"/>
        </w:rPr>
        <w:t>万元，较2016年增加</w:t>
      </w:r>
      <w:r>
        <w:rPr>
          <w:rFonts w:hint="eastAsia" w:ascii="仿宋_GB2312" w:hAnsi="仿宋_GB2312" w:eastAsia="仿宋_GB2312" w:cs="仿宋_GB2312"/>
          <w:sz w:val="32"/>
          <w:szCs w:val="32"/>
          <w:lang w:val="en-US" w:eastAsia="zh-CN"/>
        </w:rPr>
        <w:t>217.07</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65.04</w:t>
      </w:r>
      <w:r>
        <w:rPr>
          <w:rFonts w:hint="eastAsia" w:ascii="仿宋_GB2312" w:hAnsi="仿宋_GB2312" w:eastAsia="仿宋_GB2312" w:cs="仿宋_GB2312"/>
          <w:sz w:val="32"/>
          <w:szCs w:val="32"/>
        </w:rPr>
        <w:t>%，主要原因是</w:t>
      </w:r>
      <w:r>
        <w:rPr>
          <w:rFonts w:hint="eastAsia" w:ascii="仿宋_GB2312" w:hAnsi="仿宋_GB2312" w:eastAsia="仿宋_GB2312" w:cs="仿宋_GB2312"/>
          <w:sz w:val="32"/>
          <w:szCs w:val="32"/>
          <w:lang w:val="en-US" w:eastAsia="zh-CN"/>
        </w:rPr>
        <w:t>：1、人员调入，2、增加对出口企业出口补贴</w:t>
      </w:r>
      <w:r>
        <w:rPr>
          <w:rFonts w:hint="eastAsia" w:ascii="仿宋_GB2312" w:hAnsi="仿宋_GB2312" w:eastAsia="仿宋_GB2312" w:cs="仿宋_GB2312"/>
          <w:sz w:val="32"/>
          <w:szCs w:val="32"/>
        </w:rPr>
        <w:t>；年末结转和结余</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与</w:t>
      </w:r>
      <w:r>
        <w:rPr>
          <w:rFonts w:hint="eastAsia" w:ascii="仿宋_GB2312" w:hAnsi="仿宋_GB2312" w:eastAsia="仿宋_GB2312" w:cs="仿宋_GB2312"/>
          <w:sz w:val="32"/>
          <w:szCs w:val="32"/>
          <w:lang w:val="en-US" w:eastAsia="zh-CN"/>
        </w:rPr>
        <w:t>2016年保持一致</w:t>
      </w:r>
      <w:r>
        <w:rPr>
          <w:rFonts w:hint="eastAsia" w:ascii="仿宋_GB2312" w:hAnsi="仿宋_GB2312" w:eastAsia="仿宋_GB2312" w:cs="仿宋_GB2312"/>
          <w:sz w:val="32"/>
          <w:szCs w:val="32"/>
        </w:rPr>
        <w:t>。</w:t>
      </w:r>
    </w:p>
    <w:p>
      <w:pPr>
        <w:ind w:firstLine="63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本年支出的具体构成为：基本支出</w:t>
      </w:r>
      <w:r>
        <w:rPr>
          <w:rFonts w:hint="eastAsia" w:ascii="仿宋_GB2312" w:hAnsi="仿宋_GB2312" w:eastAsia="仿宋_GB2312" w:cs="仿宋_GB2312"/>
          <w:sz w:val="32"/>
          <w:szCs w:val="32"/>
          <w:lang w:val="en-US" w:eastAsia="zh-CN"/>
        </w:rPr>
        <w:t>550.81</w:t>
      </w:r>
      <w:r>
        <w:rPr>
          <w:rFonts w:hint="eastAsia" w:ascii="仿宋_GB2312" w:hAnsi="仿宋_GB2312" w:eastAsia="仿宋_GB2312" w:cs="仿宋_GB2312"/>
          <w:sz w:val="32"/>
          <w:szCs w:val="32"/>
        </w:rPr>
        <w:t>万元，占</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p>
    <w:p>
      <w:pPr>
        <w:ind w:firstLine="630"/>
        <w:jc w:val="left"/>
        <w:rPr>
          <w:rFonts w:hint="eastAsia" w:ascii="黑体" w:hAnsi="黑体" w:eastAsia="黑体"/>
          <w:sz w:val="30"/>
          <w:szCs w:val="30"/>
        </w:rPr>
      </w:pPr>
      <w:r>
        <w:rPr>
          <w:rFonts w:hint="eastAsia" w:ascii="黑体" w:hAnsi="黑体" w:eastAsia="黑体"/>
          <w:sz w:val="30"/>
          <w:szCs w:val="30"/>
        </w:rPr>
        <w:t>三、财政拨款支出决算情况说明</w:t>
      </w:r>
    </w:p>
    <w:p>
      <w:pPr>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本部门2017年度财政拨款本年支出年初预算数</w:t>
      </w:r>
      <w:r>
        <w:rPr>
          <w:rFonts w:hint="eastAsia" w:ascii="仿宋_GB2312" w:hAnsi="仿宋_GB2312" w:eastAsia="仿宋_GB2312" w:cs="仿宋_GB2312"/>
          <w:sz w:val="32"/>
          <w:szCs w:val="32"/>
          <w:lang w:val="en-US" w:eastAsia="zh-CN"/>
        </w:rPr>
        <w:t>550.81</w:t>
      </w:r>
      <w:r>
        <w:rPr>
          <w:rFonts w:hint="eastAsia" w:ascii="仿宋_GB2312" w:hAnsi="仿宋_GB2312" w:eastAsia="仿宋_GB2312" w:cs="仿宋_GB2312"/>
          <w:sz w:val="32"/>
          <w:szCs w:val="32"/>
        </w:rPr>
        <w:t>万元，决算数为</w:t>
      </w:r>
      <w:r>
        <w:rPr>
          <w:rFonts w:hint="eastAsia" w:ascii="仿宋_GB2312" w:hAnsi="仿宋_GB2312" w:eastAsia="仿宋_GB2312" w:cs="仿宋_GB2312"/>
          <w:sz w:val="32"/>
          <w:szCs w:val="32"/>
          <w:lang w:val="en-US" w:eastAsia="zh-CN"/>
        </w:rPr>
        <w:t>550.81</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%。其中：</w:t>
      </w:r>
    </w:p>
    <w:p>
      <w:pPr>
        <w:ind w:firstLine="63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（一）一般公共服务支出年初预算数为</w:t>
      </w:r>
      <w:r>
        <w:rPr>
          <w:rFonts w:hint="eastAsia" w:ascii="仿宋_GB2312" w:hAnsi="仿宋_GB2312" w:eastAsia="仿宋_GB2312" w:cs="仿宋_GB2312"/>
          <w:sz w:val="32"/>
          <w:szCs w:val="32"/>
          <w:lang w:val="en-US" w:eastAsia="zh-CN"/>
        </w:rPr>
        <w:t>87.52</w:t>
      </w:r>
      <w:r>
        <w:rPr>
          <w:rFonts w:hint="eastAsia" w:ascii="仿宋_GB2312" w:hAnsi="仿宋_GB2312" w:eastAsia="仿宋_GB2312" w:cs="仿宋_GB2312"/>
          <w:sz w:val="32"/>
          <w:szCs w:val="32"/>
        </w:rPr>
        <w:t>万元，决算数为</w:t>
      </w:r>
      <w:r>
        <w:rPr>
          <w:rFonts w:hint="eastAsia" w:ascii="仿宋_GB2312" w:hAnsi="仿宋_GB2312" w:eastAsia="仿宋_GB2312" w:cs="仿宋_GB2312"/>
          <w:sz w:val="32"/>
          <w:szCs w:val="32"/>
          <w:lang w:val="en-US" w:eastAsia="zh-CN"/>
        </w:rPr>
        <w:t>87.52</w:t>
      </w:r>
      <w:r>
        <w:rPr>
          <w:rFonts w:hint="eastAsia" w:ascii="仿宋_GB2312" w:hAnsi="仿宋_GB2312" w:eastAsia="仿宋_GB2312" w:cs="仿宋_GB2312"/>
          <w:sz w:val="32"/>
          <w:szCs w:val="32"/>
        </w:rPr>
        <w:t>万元，完成年初预算的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p>
    <w:p>
      <w:pPr>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（二）社会保障和就业支出年初预算数为</w:t>
      </w:r>
      <w:r>
        <w:rPr>
          <w:rFonts w:hint="eastAsia" w:ascii="仿宋_GB2312" w:hAnsi="仿宋_GB2312" w:eastAsia="仿宋_GB2312" w:cs="仿宋_GB2312"/>
          <w:sz w:val="32"/>
          <w:szCs w:val="32"/>
          <w:lang w:val="en-US" w:eastAsia="zh-CN"/>
        </w:rPr>
        <w:t>25.26</w:t>
      </w:r>
      <w:r>
        <w:rPr>
          <w:rFonts w:hint="eastAsia" w:ascii="仿宋_GB2312" w:hAnsi="仿宋_GB2312" w:eastAsia="仿宋_GB2312" w:cs="仿宋_GB2312"/>
          <w:sz w:val="32"/>
          <w:szCs w:val="32"/>
        </w:rPr>
        <w:t>万元，决算数为</w:t>
      </w:r>
      <w:r>
        <w:rPr>
          <w:rFonts w:hint="eastAsia" w:ascii="仿宋_GB2312" w:hAnsi="仿宋_GB2312" w:eastAsia="仿宋_GB2312" w:cs="仿宋_GB2312"/>
          <w:sz w:val="32"/>
          <w:szCs w:val="32"/>
          <w:lang w:val="en-US" w:eastAsia="zh-CN"/>
        </w:rPr>
        <w:t>25.26</w:t>
      </w:r>
      <w:r>
        <w:rPr>
          <w:rFonts w:hint="eastAsia" w:ascii="仿宋_GB2312" w:hAnsi="仿宋_GB2312" w:eastAsia="仿宋_GB2312" w:cs="仿宋_GB2312"/>
          <w:sz w:val="32"/>
          <w:szCs w:val="32"/>
        </w:rPr>
        <w:t>万元，完成年初预算的100%</w:t>
      </w:r>
      <w:r>
        <w:rPr>
          <w:rFonts w:hint="eastAsia" w:ascii="仿宋_GB2312" w:hAnsi="仿宋_GB2312" w:eastAsia="仿宋_GB2312" w:cs="仿宋_GB2312"/>
          <w:sz w:val="32"/>
          <w:szCs w:val="32"/>
          <w:lang w:eastAsia="zh-CN"/>
        </w:rPr>
        <w:t>。</w:t>
      </w:r>
    </w:p>
    <w:p>
      <w:pPr>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医疗卫生与计划生育支出年初预算数为</w:t>
      </w:r>
      <w:r>
        <w:rPr>
          <w:rFonts w:hint="eastAsia" w:ascii="仿宋_GB2312" w:hAnsi="仿宋_GB2312" w:eastAsia="仿宋_GB2312" w:cs="仿宋_GB2312"/>
          <w:sz w:val="32"/>
          <w:szCs w:val="32"/>
          <w:lang w:val="en-US" w:eastAsia="zh-CN"/>
        </w:rPr>
        <w:t>4.33</w:t>
      </w:r>
      <w:r>
        <w:rPr>
          <w:rFonts w:hint="eastAsia" w:ascii="仿宋_GB2312" w:hAnsi="仿宋_GB2312" w:eastAsia="仿宋_GB2312" w:cs="仿宋_GB2312"/>
          <w:sz w:val="32"/>
          <w:szCs w:val="32"/>
        </w:rPr>
        <w:t>万元，决算数为</w:t>
      </w:r>
      <w:r>
        <w:rPr>
          <w:rFonts w:hint="eastAsia" w:ascii="仿宋_GB2312" w:hAnsi="仿宋_GB2312" w:eastAsia="仿宋_GB2312" w:cs="仿宋_GB2312"/>
          <w:sz w:val="32"/>
          <w:szCs w:val="32"/>
          <w:lang w:val="en-US" w:eastAsia="zh-CN"/>
        </w:rPr>
        <w:t>4.33</w:t>
      </w:r>
      <w:r>
        <w:rPr>
          <w:rFonts w:hint="eastAsia" w:ascii="仿宋_GB2312" w:hAnsi="仿宋_GB2312" w:eastAsia="仿宋_GB2312" w:cs="仿宋_GB2312"/>
          <w:sz w:val="32"/>
          <w:szCs w:val="32"/>
        </w:rPr>
        <w:t>万元，完成年初预算的100%</w:t>
      </w:r>
      <w:r>
        <w:rPr>
          <w:rFonts w:hint="eastAsia" w:ascii="仿宋_GB2312" w:hAnsi="仿宋_GB2312" w:eastAsia="仿宋_GB2312" w:cs="仿宋_GB2312"/>
          <w:sz w:val="32"/>
          <w:szCs w:val="32"/>
          <w:lang w:eastAsia="zh-CN"/>
        </w:rPr>
        <w:t>。</w:t>
      </w:r>
    </w:p>
    <w:p>
      <w:pPr>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（四）城乡社区</w:t>
      </w:r>
      <w:r>
        <w:rPr>
          <w:rFonts w:hint="eastAsia" w:ascii="仿宋_GB2312" w:hAnsi="仿宋_GB2312" w:eastAsia="仿宋_GB2312" w:cs="仿宋_GB2312"/>
          <w:sz w:val="32"/>
          <w:szCs w:val="32"/>
        </w:rPr>
        <w:t>支出年初预算数为</w:t>
      </w:r>
      <w:r>
        <w:rPr>
          <w:rFonts w:hint="eastAsia" w:ascii="仿宋_GB2312" w:hAnsi="仿宋_GB2312" w:eastAsia="仿宋_GB2312" w:cs="仿宋_GB2312"/>
          <w:sz w:val="32"/>
          <w:szCs w:val="32"/>
          <w:lang w:val="en-US" w:eastAsia="zh-CN"/>
        </w:rPr>
        <w:t>353.5</w:t>
      </w:r>
      <w:r>
        <w:rPr>
          <w:rFonts w:hint="eastAsia" w:ascii="仿宋_GB2312" w:hAnsi="仿宋_GB2312" w:eastAsia="仿宋_GB2312" w:cs="仿宋_GB2312"/>
          <w:sz w:val="32"/>
          <w:szCs w:val="32"/>
        </w:rPr>
        <w:t>万元，决算数为</w:t>
      </w:r>
      <w:r>
        <w:rPr>
          <w:rFonts w:hint="eastAsia" w:ascii="仿宋_GB2312" w:hAnsi="仿宋_GB2312" w:eastAsia="仿宋_GB2312" w:cs="仿宋_GB2312"/>
          <w:sz w:val="32"/>
          <w:szCs w:val="32"/>
          <w:lang w:val="en-US" w:eastAsia="zh-CN"/>
        </w:rPr>
        <w:t>353.5</w:t>
      </w:r>
      <w:r>
        <w:rPr>
          <w:rFonts w:hint="eastAsia" w:ascii="仿宋_GB2312" w:hAnsi="仿宋_GB2312" w:eastAsia="仿宋_GB2312" w:cs="仿宋_GB2312"/>
          <w:sz w:val="32"/>
          <w:szCs w:val="32"/>
        </w:rPr>
        <w:t>万元，完成年初预算的100%</w:t>
      </w:r>
      <w:r>
        <w:rPr>
          <w:rFonts w:hint="eastAsia" w:ascii="仿宋_GB2312" w:hAnsi="仿宋_GB2312" w:eastAsia="仿宋_GB2312" w:cs="仿宋_GB2312"/>
          <w:sz w:val="32"/>
          <w:szCs w:val="32"/>
          <w:lang w:eastAsia="zh-CN"/>
        </w:rPr>
        <w:t>。</w:t>
      </w:r>
    </w:p>
    <w:p>
      <w:pPr>
        <w:ind w:firstLine="640" w:firstLineChars="20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住房保障支出年初预算数为</w:t>
      </w:r>
      <w:r>
        <w:rPr>
          <w:rFonts w:hint="eastAsia" w:ascii="仿宋_GB2312" w:hAnsi="仿宋_GB2312" w:eastAsia="仿宋_GB2312" w:cs="仿宋_GB2312"/>
          <w:sz w:val="32"/>
          <w:szCs w:val="32"/>
          <w:lang w:val="en-US" w:eastAsia="zh-CN"/>
        </w:rPr>
        <w:t>8.25</w:t>
      </w:r>
      <w:r>
        <w:rPr>
          <w:rFonts w:hint="eastAsia" w:ascii="仿宋_GB2312" w:hAnsi="仿宋_GB2312" w:eastAsia="仿宋_GB2312" w:cs="仿宋_GB2312"/>
          <w:sz w:val="32"/>
          <w:szCs w:val="32"/>
        </w:rPr>
        <w:t>万元，决算数为</w:t>
      </w:r>
      <w:r>
        <w:rPr>
          <w:rFonts w:hint="eastAsia" w:ascii="仿宋_GB2312" w:hAnsi="仿宋_GB2312" w:eastAsia="仿宋_GB2312" w:cs="仿宋_GB2312"/>
          <w:sz w:val="32"/>
          <w:szCs w:val="32"/>
          <w:lang w:val="en-US" w:eastAsia="zh-CN"/>
        </w:rPr>
        <w:t>8.25</w:t>
      </w:r>
      <w:r>
        <w:rPr>
          <w:rFonts w:hint="eastAsia" w:ascii="仿宋_GB2312" w:hAnsi="仿宋_GB2312" w:eastAsia="仿宋_GB2312" w:cs="仿宋_GB2312"/>
          <w:sz w:val="32"/>
          <w:szCs w:val="32"/>
        </w:rPr>
        <w:t>万元，完成年初预算的100%</w:t>
      </w:r>
      <w:r>
        <w:rPr>
          <w:rFonts w:hint="eastAsia" w:ascii="仿宋_GB2312" w:hAnsi="仿宋_GB2312" w:eastAsia="仿宋_GB2312" w:cs="仿宋_GB2312"/>
          <w:sz w:val="32"/>
          <w:szCs w:val="32"/>
          <w:lang w:eastAsia="zh-CN"/>
        </w:rPr>
        <w:t>。</w:t>
      </w:r>
    </w:p>
    <w:p>
      <w:pPr>
        <w:ind w:firstLine="640" w:firstLineChars="200"/>
        <w:jc w:val="left"/>
        <w:rPr>
          <w:rFonts w:hint="eastAsia" w:ascii="仿宋" w:hAnsi="仿宋" w:eastAsia="仿宋"/>
          <w:sz w:val="30"/>
          <w:szCs w:val="30"/>
        </w:rPr>
      </w:pPr>
      <w:r>
        <w:rPr>
          <w:rFonts w:hint="eastAsia" w:ascii="仿宋_GB2312" w:hAnsi="仿宋_GB2312" w:eastAsia="仿宋_GB2312" w:cs="仿宋_GB2312"/>
          <w:sz w:val="32"/>
          <w:szCs w:val="32"/>
          <w:lang w:eastAsia="zh-CN"/>
        </w:rPr>
        <w:t>（六）其他</w:t>
      </w:r>
      <w:r>
        <w:rPr>
          <w:rFonts w:hint="eastAsia" w:ascii="仿宋_GB2312" w:hAnsi="仿宋_GB2312" w:eastAsia="仿宋_GB2312" w:cs="仿宋_GB2312"/>
          <w:sz w:val="32"/>
          <w:szCs w:val="32"/>
        </w:rPr>
        <w:t>支出年初预算数为</w:t>
      </w:r>
      <w:r>
        <w:rPr>
          <w:rFonts w:hint="eastAsia" w:ascii="仿宋_GB2312" w:hAnsi="仿宋_GB2312" w:eastAsia="仿宋_GB2312" w:cs="仿宋_GB2312"/>
          <w:sz w:val="32"/>
          <w:szCs w:val="32"/>
          <w:lang w:val="en-US" w:eastAsia="zh-CN"/>
        </w:rPr>
        <w:t>71.95</w:t>
      </w:r>
      <w:r>
        <w:rPr>
          <w:rFonts w:hint="eastAsia" w:ascii="仿宋_GB2312" w:hAnsi="仿宋_GB2312" w:eastAsia="仿宋_GB2312" w:cs="仿宋_GB2312"/>
          <w:sz w:val="32"/>
          <w:szCs w:val="32"/>
        </w:rPr>
        <w:t>万元，决算数为</w:t>
      </w:r>
      <w:r>
        <w:rPr>
          <w:rFonts w:hint="eastAsia" w:ascii="仿宋_GB2312" w:hAnsi="仿宋_GB2312" w:eastAsia="仿宋_GB2312" w:cs="仿宋_GB2312"/>
          <w:sz w:val="32"/>
          <w:szCs w:val="32"/>
          <w:lang w:val="en-US" w:eastAsia="zh-CN"/>
        </w:rPr>
        <w:t>71.95</w:t>
      </w:r>
      <w:r>
        <w:rPr>
          <w:rFonts w:hint="eastAsia" w:ascii="仿宋_GB2312" w:hAnsi="仿宋_GB2312" w:eastAsia="仿宋_GB2312" w:cs="仿宋_GB2312"/>
          <w:sz w:val="32"/>
          <w:szCs w:val="32"/>
        </w:rPr>
        <w:t>万元，完成年初预算的100%。</w:t>
      </w:r>
    </w:p>
    <w:p>
      <w:pPr>
        <w:ind w:firstLine="585"/>
        <w:jc w:val="left"/>
        <w:rPr>
          <w:rFonts w:hint="eastAsia" w:ascii="黑体" w:hAnsi="黑体" w:eastAsia="黑体"/>
          <w:sz w:val="30"/>
          <w:szCs w:val="30"/>
        </w:rPr>
      </w:pPr>
      <w:r>
        <w:rPr>
          <w:rFonts w:hint="eastAsia" w:ascii="黑体" w:hAnsi="黑体" w:eastAsia="黑体"/>
          <w:sz w:val="30"/>
          <w:szCs w:val="30"/>
        </w:rPr>
        <w:t>四、一般公共预算财政拨款基本支出决算情况说明</w:t>
      </w:r>
    </w:p>
    <w:p>
      <w:pPr>
        <w:ind w:firstLine="585"/>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本部门2017年度一般公共预算财政拨款基本支出</w:t>
      </w:r>
      <w:r>
        <w:rPr>
          <w:rFonts w:hint="eastAsia" w:ascii="仿宋_GB2312" w:hAnsi="仿宋_GB2312" w:eastAsia="仿宋_GB2312" w:cs="仿宋_GB2312"/>
          <w:sz w:val="32"/>
          <w:szCs w:val="32"/>
          <w:lang w:val="en-US" w:eastAsia="zh-CN"/>
        </w:rPr>
        <w:t>197.31</w:t>
      </w:r>
      <w:r>
        <w:rPr>
          <w:rFonts w:hint="eastAsia" w:ascii="仿宋_GB2312" w:hAnsi="仿宋_GB2312" w:eastAsia="仿宋_GB2312" w:cs="仿宋_GB2312"/>
          <w:sz w:val="32"/>
          <w:szCs w:val="32"/>
        </w:rPr>
        <w:t>万元，其中：</w:t>
      </w:r>
    </w:p>
    <w:p>
      <w:pPr>
        <w:ind w:firstLine="585"/>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（一）工资福利支出</w:t>
      </w:r>
      <w:r>
        <w:rPr>
          <w:rFonts w:hint="eastAsia" w:ascii="仿宋_GB2312" w:hAnsi="仿宋_GB2312" w:eastAsia="仿宋_GB2312" w:cs="仿宋_GB2312"/>
          <w:sz w:val="32"/>
          <w:szCs w:val="32"/>
          <w:lang w:val="en-US" w:eastAsia="zh-CN"/>
        </w:rPr>
        <w:t>95.11</w:t>
      </w:r>
      <w:r>
        <w:rPr>
          <w:rFonts w:hint="eastAsia" w:ascii="仿宋_GB2312" w:hAnsi="仿宋_GB2312" w:eastAsia="仿宋_GB2312" w:cs="仿宋_GB2312"/>
          <w:sz w:val="32"/>
          <w:szCs w:val="32"/>
        </w:rPr>
        <w:t>万元，较2016年增加</w:t>
      </w:r>
      <w:r>
        <w:rPr>
          <w:rFonts w:hint="eastAsia" w:ascii="仿宋_GB2312" w:hAnsi="仿宋_GB2312" w:eastAsia="仿宋_GB2312" w:cs="仿宋_GB2312"/>
          <w:sz w:val="32"/>
          <w:szCs w:val="32"/>
          <w:lang w:val="en-US" w:eastAsia="zh-CN"/>
        </w:rPr>
        <w:t>39.97</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72.49</w:t>
      </w:r>
      <w:r>
        <w:rPr>
          <w:rFonts w:hint="eastAsia" w:ascii="仿宋_GB2312" w:hAnsi="仿宋_GB2312" w:eastAsia="仿宋_GB2312" w:cs="仿宋_GB2312"/>
          <w:sz w:val="32"/>
          <w:szCs w:val="32"/>
        </w:rPr>
        <w:t>%，主要原因是：</w:t>
      </w:r>
      <w:r>
        <w:rPr>
          <w:rFonts w:hint="eastAsia" w:ascii="仿宋_GB2312" w:hAnsi="仿宋_GB2312" w:eastAsia="仿宋_GB2312" w:cs="仿宋_GB2312"/>
          <w:sz w:val="32"/>
          <w:szCs w:val="32"/>
          <w:lang w:eastAsia="zh-CN"/>
        </w:rPr>
        <w:t>人员调入增加开支</w:t>
      </w:r>
      <w:r>
        <w:rPr>
          <w:rFonts w:hint="eastAsia" w:ascii="仿宋_GB2312" w:hAnsi="仿宋_GB2312" w:eastAsia="仿宋_GB2312" w:cs="仿宋_GB2312"/>
          <w:sz w:val="32"/>
          <w:szCs w:val="32"/>
        </w:rPr>
        <w:t>。</w:t>
      </w:r>
    </w:p>
    <w:p>
      <w:pPr>
        <w:ind w:firstLine="585"/>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（二）商品和服务支出</w:t>
      </w:r>
      <w:r>
        <w:rPr>
          <w:rFonts w:hint="eastAsia" w:ascii="仿宋_GB2312" w:hAnsi="仿宋_GB2312" w:eastAsia="仿宋_GB2312" w:cs="仿宋_GB2312"/>
          <w:sz w:val="32"/>
          <w:szCs w:val="32"/>
          <w:lang w:val="en-US" w:eastAsia="zh-CN"/>
        </w:rPr>
        <w:t>77.6</w:t>
      </w:r>
      <w:r>
        <w:rPr>
          <w:rFonts w:hint="eastAsia" w:ascii="仿宋_GB2312" w:hAnsi="仿宋_GB2312" w:eastAsia="仿宋_GB2312" w:cs="仿宋_GB2312"/>
          <w:sz w:val="32"/>
          <w:szCs w:val="32"/>
        </w:rPr>
        <w:t>万元，较2016年增加</w:t>
      </w:r>
      <w:r>
        <w:rPr>
          <w:rFonts w:hint="eastAsia" w:ascii="仿宋_GB2312" w:hAnsi="仿宋_GB2312" w:eastAsia="仿宋_GB2312" w:cs="仿宋_GB2312"/>
          <w:sz w:val="32"/>
          <w:szCs w:val="32"/>
          <w:lang w:val="en-US" w:eastAsia="zh-CN"/>
        </w:rPr>
        <w:t>58.92</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315.42</w:t>
      </w:r>
      <w:r>
        <w:rPr>
          <w:rFonts w:hint="eastAsia" w:ascii="仿宋_GB2312" w:hAnsi="仿宋_GB2312" w:eastAsia="仿宋_GB2312" w:cs="仿宋_GB2312"/>
          <w:sz w:val="32"/>
          <w:szCs w:val="32"/>
        </w:rPr>
        <w:t xml:space="preserve"> %，主要原因</w:t>
      </w:r>
      <w:r>
        <w:rPr>
          <w:rFonts w:hint="eastAsia" w:ascii="仿宋_GB2312" w:hAnsi="仿宋_GB2312" w:eastAsia="仿宋_GB2312" w:cs="仿宋_GB2312"/>
          <w:sz w:val="32"/>
          <w:szCs w:val="32"/>
          <w:lang w:val="en-US" w:eastAsia="zh-CN"/>
        </w:rPr>
        <w:t>是：加强对招商引资的投入</w:t>
      </w:r>
      <w:r>
        <w:rPr>
          <w:rFonts w:hint="eastAsia" w:ascii="仿宋_GB2312" w:hAnsi="仿宋_GB2312" w:eastAsia="仿宋_GB2312" w:cs="仿宋_GB2312"/>
          <w:sz w:val="32"/>
          <w:szCs w:val="32"/>
        </w:rPr>
        <w:t>。</w:t>
      </w:r>
    </w:p>
    <w:p>
      <w:pPr>
        <w:ind w:firstLine="585"/>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（三）对个人和家庭补助支出</w:t>
      </w:r>
      <w:r>
        <w:rPr>
          <w:rFonts w:hint="eastAsia" w:ascii="仿宋_GB2312" w:hAnsi="仿宋_GB2312" w:eastAsia="仿宋_GB2312" w:cs="仿宋_GB2312"/>
          <w:sz w:val="32"/>
          <w:szCs w:val="32"/>
          <w:lang w:val="en-US" w:eastAsia="zh-CN"/>
        </w:rPr>
        <w:t>24.6</w:t>
      </w:r>
      <w:r>
        <w:rPr>
          <w:rFonts w:hint="eastAsia" w:ascii="仿宋_GB2312" w:hAnsi="仿宋_GB2312" w:eastAsia="仿宋_GB2312" w:cs="仿宋_GB2312"/>
          <w:sz w:val="32"/>
          <w:szCs w:val="32"/>
        </w:rPr>
        <w:t>万元，较2016年减少</w:t>
      </w:r>
      <w:r>
        <w:rPr>
          <w:rFonts w:hint="eastAsia" w:ascii="仿宋_GB2312" w:hAnsi="仿宋_GB2312" w:eastAsia="仿宋_GB2312" w:cs="仿宋_GB2312"/>
          <w:sz w:val="32"/>
          <w:szCs w:val="32"/>
          <w:lang w:val="en-US" w:eastAsia="zh-CN"/>
        </w:rPr>
        <w:t>4.14</w:t>
      </w:r>
      <w:r>
        <w:rPr>
          <w:rFonts w:hint="eastAsia" w:ascii="仿宋_GB2312" w:hAnsi="仿宋_GB2312" w:eastAsia="仿宋_GB2312" w:cs="仿宋_GB2312"/>
          <w:sz w:val="32"/>
          <w:szCs w:val="32"/>
        </w:rPr>
        <w:t>万元，下降</w:t>
      </w:r>
      <w:r>
        <w:rPr>
          <w:rFonts w:hint="eastAsia" w:ascii="仿宋_GB2312" w:hAnsi="仿宋_GB2312" w:eastAsia="仿宋_GB2312" w:cs="仿宋_GB2312"/>
          <w:sz w:val="32"/>
          <w:szCs w:val="32"/>
          <w:lang w:val="en-US" w:eastAsia="zh-CN"/>
        </w:rPr>
        <w:t>14.41</w:t>
      </w:r>
      <w:r>
        <w:rPr>
          <w:rFonts w:hint="eastAsia" w:ascii="仿宋_GB2312" w:hAnsi="仿宋_GB2312" w:eastAsia="仿宋_GB2312" w:cs="仿宋_GB2312"/>
          <w:sz w:val="32"/>
          <w:szCs w:val="32"/>
        </w:rPr>
        <w:t>%，主要原因是：</w:t>
      </w:r>
      <w:r>
        <w:rPr>
          <w:rFonts w:hint="eastAsia" w:ascii="仿宋_GB2312" w:hAnsi="仿宋_GB2312" w:eastAsia="仿宋_GB2312" w:cs="仿宋_GB2312"/>
          <w:sz w:val="32"/>
          <w:szCs w:val="32"/>
          <w:lang w:eastAsia="zh-CN"/>
        </w:rPr>
        <w:t>退休人员纳入社保</w:t>
      </w:r>
      <w:r>
        <w:rPr>
          <w:rFonts w:hint="eastAsia" w:ascii="仿宋_GB2312" w:hAnsi="仿宋_GB2312" w:eastAsia="仿宋_GB2312" w:cs="仿宋_GB2312"/>
          <w:sz w:val="32"/>
          <w:szCs w:val="32"/>
        </w:rPr>
        <w:t>。</w:t>
      </w:r>
    </w:p>
    <w:p>
      <w:pPr>
        <w:ind w:firstLine="630"/>
        <w:jc w:val="left"/>
        <w:rPr>
          <w:rFonts w:hint="eastAsia" w:ascii="黑体" w:hAnsi="黑体" w:eastAsia="黑体"/>
          <w:sz w:val="30"/>
          <w:szCs w:val="30"/>
        </w:rPr>
      </w:pPr>
      <w:r>
        <w:rPr>
          <w:rFonts w:hint="eastAsia" w:ascii="黑体" w:hAnsi="黑体" w:eastAsia="黑体"/>
          <w:sz w:val="30"/>
          <w:szCs w:val="30"/>
        </w:rPr>
        <w:t>五、一般公共预算财政拨款“三公”经费支出决算情况说明</w:t>
      </w:r>
    </w:p>
    <w:p>
      <w:pPr>
        <w:ind w:firstLine="63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本部门2017年度一般公共预算财政拨款“三公”经费支出年初预算数为</w:t>
      </w:r>
      <w:r>
        <w:rPr>
          <w:rFonts w:hint="eastAsia" w:ascii="仿宋_GB2312" w:hAnsi="仿宋_GB2312" w:eastAsia="仿宋_GB2312" w:cs="仿宋_GB2312"/>
          <w:sz w:val="32"/>
          <w:szCs w:val="32"/>
          <w:lang w:val="en-US" w:eastAsia="zh-CN"/>
        </w:rPr>
        <w:t>35.68</w:t>
      </w:r>
      <w:r>
        <w:rPr>
          <w:rFonts w:hint="eastAsia" w:ascii="仿宋_GB2312" w:hAnsi="仿宋_GB2312" w:eastAsia="仿宋_GB2312" w:cs="仿宋_GB2312"/>
          <w:sz w:val="32"/>
          <w:szCs w:val="32"/>
        </w:rPr>
        <w:t>万元，决算数为</w:t>
      </w:r>
      <w:r>
        <w:rPr>
          <w:rFonts w:hint="eastAsia" w:ascii="仿宋_GB2312" w:hAnsi="仿宋_GB2312" w:eastAsia="仿宋_GB2312" w:cs="仿宋_GB2312"/>
          <w:sz w:val="32"/>
          <w:szCs w:val="32"/>
          <w:lang w:val="en-US" w:eastAsia="zh-CN"/>
        </w:rPr>
        <w:t>30.96</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86.77</w:t>
      </w:r>
      <w:r>
        <w:rPr>
          <w:rFonts w:hint="eastAsia" w:ascii="仿宋_GB2312" w:hAnsi="仿宋_GB2312" w:eastAsia="仿宋_GB2312" w:cs="仿宋_GB2312"/>
          <w:sz w:val="32"/>
          <w:szCs w:val="32"/>
        </w:rPr>
        <w:t>%，决算数较2016年减少</w:t>
      </w:r>
      <w:r>
        <w:rPr>
          <w:rFonts w:hint="eastAsia" w:ascii="仿宋_GB2312" w:hAnsi="仿宋_GB2312" w:eastAsia="仿宋_GB2312" w:cs="仿宋_GB2312"/>
          <w:sz w:val="32"/>
          <w:szCs w:val="32"/>
          <w:lang w:val="en-US" w:eastAsia="zh-CN"/>
        </w:rPr>
        <w:t>8.54</w:t>
      </w:r>
      <w:r>
        <w:rPr>
          <w:rFonts w:hint="eastAsia" w:ascii="仿宋_GB2312" w:hAnsi="仿宋_GB2312" w:eastAsia="仿宋_GB2312" w:cs="仿宋_GB2312"/>
          <w:sz w:val="32"/>
          <w:szCs w:val="32"/>
        </w:rPr>
        <w:t>万元，下降</w:t>
      </w:r>
      <w:r>
        <w:rPr>
          <w:rFonts w:hint="eastAsia" w:ascii="仿宋_GB2312" w:hAnsi="仿宋_GB2312" w:eastAsia="仿宋_GB2312" w:cs="仿宋_GB2312"/>
          <w:sz w:val="32"/>
          <w:szCs w:val="32"/>
          <w:lang w:val="en-US" w:eastAsia="zh-CN"/>
        </w:rPr>
        <w:t>21.62</w:t>
      </w:r>
      <w:r>
        <w:rPr>
          <w:rFonts w:hint="eastAsia" w:ascii="仿宋_GB2312" w:hAnsi="仿宋_GB2312" w:eastAsia="仿宋_GB2312" w:cs="仿宋_GB2312"/>
          <w:sz w:val="32"/>
          <w:szCs w:val="32"/>
        </w:rPr>
        <w:t>%，其中：</w:t>
      </w:r>
    </w:p>
    <w:p>
      <w:pPr>
        <w:ind w:firstLine="63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（一）因公出国（境）支出年初预算数为</w:t>
      </w:r>
      <w:r>
        <w:rPr>
          <w:rFonts w:hint="eastAsia" w:ascii="仿宋_GB2312" w:hAnsi="仿宋_GB2312" w:eastAsia="仿宋_GB2312" w:cs="仿宋_GB2312"/>
          <w:sz w:val="32"/>
          <w:szCs w:val="32"/>
          <w:lang w:val="en-US" w:eastAsia="zh-CN"/>
        </w:rPr>
        <w:t>6.68</w:t>
      </w:r>
      <w:r>
        <w:rPr>
          <w:rFonts w:hint="eastAsia" w:ascii="仿宋_GB2312" w:hAnsi="仿宋_GB2312" w:eastAsia="仿宋_GB2312" w:cs="仿宋_GB2312"/>
          <w:sz w:val="32"/>
          <w:szCs w:val="32"/>
        </w:rPr>
        <w:t>万元，决算数为</w:t>
      </w:r>
      <w:r>
        <w:rPr>
          <w:rFonts w:hint="eastAsia" w:ascii="仿宋_GB2312" w:hAnsi="仿宋_GB2312" w:eastAsia="仿宋_GB2312" w:cs="仿宋_GB2312"/>
          <w:sz w:val="32"/>
          <w:szCs w:val="32"/>
          <w:lang w:val="en-US" w:eastAsia="zh-CN"/>
        </w:rPr>
        <w:t>4.92</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73.65</w:t>
      </w:r>
      <w:r>
        <w:rPr>
          <w:rFonts w:hint="eastAsia" w:ascii="仿宋_GB2312" w:hAnsi="仿宋_GB2312" w:eastAsia="仿宋_GB2312" w:cs="仿宋_GB2312"/>
          <w:sz w:val="32"/>
          <w:szCs w:val="32"/>
        </w:rPr>
        <w:t>%，决算数较2016年增加</w:t>
      </w:r>
      <w:r>
        <w:rPr>
          <w:rFonts w:hint="eastAsia" w:ascii="仿宋_GB2312" w:hAnsi="仿宋_GB2312" w:eastAsia="仿宋_GB2312" w:cs="仿宋_GB2312"/>
          <w:sz w:val="32"/>
          <w:szCs w:val="32"/>
          <w:lang w:val="en-US" w:eastAsia="zh-CN"/>
        </w:rPr>
        <w:t>2.68</w:t>
      </w:r>
      <w:r>
        <w:rPr>
          <w:rFonts w:hint="eastAsia" w:ascii="仿宋_GB2312" w:hAnsi="仿宋_GB2312" w:eastAsia="仿宋_GB2312" w:cs="仿宋_GB2312"/>
          <w:sz w:val="32"/>
          <w:szCs w:val="32"/>
        </w:rPr>
        <w:t>万元，增长</w:t>
      </w:r>
      <w:r>
        <w:rPr>
          <w:rFonts w:hint="eastAsia" w:ascii="仿宋_GB2312" w:hAnsi="仿宋_GB2312" w:eastAsia="仿宋_GB2312" w:cs="仿宋_GB2312"/>
          <w:sz w:val="32"/>
          <w:szCs w:val="32"/>
          <w:lang w:val="en-US" w:eastAsia="zh-CN"/>
        </w:rPr>
        <w:t>119.64</w:t>
      </w:r>
      <w:r>
        <w:rPr>
          <w:rFonts w:hint="eastAsia" w:ascii="仿宋_GB2312" w:hAnsi="仿宋_GB2312" w:eastAsia="仿宋_GB2312" w:cs="仿宋_GB2312"/>
          <w:sz w:val="32"/>
          <w:szCs w:val="32"/>
        </w:rPr>
        <w:t xml:space="preserve"> %。主要原因是：</w:t>
      </w:r>
      <w:r>
        <w:rPr>
          <w:rFonts w:hint="eastAsia" w:ascii="仿宋_GB2312" w:hAnsi="仿宋_GB2312" w:eastAsia="仿宋_GB2312" w:cs="仿宋_GB2312"/>
          <w:sz w:val="32"/>
          <w:szCs w:val="32"/>
          <w:lang w:val="en-US" w:eastAsia="zh-CN"/>
        </w:rPr>
        <w:t>加强对招商引资的投入</w:t>
      </w:r>
      <w:r>
        <w:rPr>
          <w:rFonts w:hint="eastAsia" w:ascii="仿宋_GB2312" w:hAnsi="仿宋_GB2312" w:eastAsia="仿宋_GB2312" w:cs="仿宋_GB2312"/>
          <w:sz w:val="32"/>
          <w:szCs w:val="32"/>
        </w:rPr>
        <w:t>。</w:t>
      </w:r>
    </w:p>
    <w:p>
      <w:pPr>
        <w:ind w:firstLine="63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（二）公务接待费支出年初预算数为</w:t>
      </w:r>
      <w:r>
        <w:rPr>
          <w:rFonts w:hint="eastAsia" w:ascii="仿宋_GB2312" w:hAnsi="仿宋_GB2312" w:eastAsia="仿宋_GB2312" w:cs="仿宋_GB2312"/>
          <w:sz w:val="32"/>
          <w:szCs w:val="32"/>
          <w:lang w:val="en-US" w:eastAsia="zh-CN"/>
        </w:rPr>
        <w:t>29</w:t>
      </w:r>
      <w:r>
        <w:rPr>
          <w:rFonts w:hint="eastAsia" w:ascii="仿宋_GB2312" w:hAnsi="仿宋_GB2312" w:eastAsia="仿宋_GB2312" w:cs="仿宋_GB2312"/>
          <w:sz w:val="32"/>
          <w:szCs w:val="32"/>
        </w:rPr>
        <w:t>万元，决算数为</w:t>
      </w:r>
      <w:r>
        <w:rPr>
          <w:rFonts w:hint="eastAsia" w:ascii="仿宋_GB2312" w:hAnsi="仿宋_GB2312" w:eastAsia="仿宋_GB2312" w:cs="仿宋_GB2312"/>
          <w:sz w:val="32"/>
          <w:szCs w:val="32"/>
          <w:lang w:val="en-US" w:eastAsia="zh-CN"/>
        </w:rPr>
        <w:t>26.04</w:t>
      </w:r>
      <w:r>
        <w:rPr>
          <w:rFonts w:hint="eastAsia" w:ascii="仿宋_GB2312" w:hAnsi="仿宋_GB2312" w:eastAsia="仿宋_GB2312" w:cs="仿宋_GB2312"/>
          <w:sz w:val="32"/>
          <w:szCs w:val="32"/>
        </w:rPr>
        <w:t>万元，完成预算的</w:t>
      </w:r>
      <w:r>
        <w:rPr>
          <w:rFonts w:hint="eastAsia" w:ascii="仿宋_GB2312" w:hAnsi="仿宋_GB2312" w:eastAsia="仿宋_GB2312" w:cs="仿宋_GB2312"/>
          <w:sz w:val="32"/>
          <w:szCs w:val="32"/>
          <w:lang w:val="en-US" w:eastAsia="zh-CN"/>
        </w:rPr>
        <w:t>89.79</w:t>
      </w:r>
      <w:r>
        <w:rPr>
          <w:rFonts w:hint="eastAsia" w:ascii="仿宋_GB2312" w:hAnsi="仿宋_GB2312" w:eastAsia="仿宋_GB2312" w:cs="仿宋_GB2312"/>
          <w:sz w:val="32"/>
          <w:szCs w:val="32"/>
        </w:rPr>
        <w:t xml:space="preserve">%，决算数较2016年减少  </w:t>
      </w:r>
      <w:r>
        <w:rPr>
          <w:rFonts w:hint="eastAsia" w:ascii="仿宋_GB2312" w:hAnsi="仿宋_GB2312" w:eastAsia="仿宋_GB2312" w:cs="仿宋_GB2312"/>
          <w:sz w:val="32"/>
          <w:szCs w:val="32"/>
          <w:lang w:val="en-US" w:eastAsia="zh-CN"/>
        </w:rPr>
        <w:t>4.47</w:t>
      </w:r>
      <w:r>
        <w:rPr>
          <w:rFonts w:hint="eastAsia" w:ascii="仿宋_GB2312" w:hAnsi="仿宋_GB2312" w:eastAsia="仿宋_GB2312" w:cs="仿宋_GB2312"/>
          <w:sz w:val="32"/>
          <w:szCs w:val="32"/>
        </w:rPr>
        <w:t>万元，下降</w:t>
      </w:r>
      <w:r>
        <w:rPr>
          <w:rFonts w:hint="eastAsia" w:ascii="仿宋_GB2312" w:hAnsi="仿宋_GB2312" w:eastAsia="仿宋_GB2312" w:cs="仿宋_GB2312"/>
          <w:sz w:val="32"/>
          <w:szCs w:val="32"/>
          <w:lang w:val="en-US" w:eastAsia="zh-CN"/>
        </w:rPr>
        <w:t>14.65</w:t>
      </w:r>
      <w:r>
        <w:rPr>
          <w:rFonts w:hint="eastAsia" w:ascii="仿宋_GB2312" w:hAnsi="仿宋_GB2312" w:eastAsia="仿宋_GB2312" w:cs="仿宋_GB2312"/>
          <w:sz w:val="32"/>
          <w:szCs w:val="32"/>
        </w:rPr>
        <w:t>%。主要原因是：</w:t>
      </w:r>
      <w:r>
        <w:rPr>
          <w:rFonts w:hint="eastAsia" w:ascii="仿宋_GB2312" w:hAnsi="仿宋_GB2312" w:eastAsia="仿宋_GB2312" w:cs="仿宋_GB2312"/>
          <w:sz w:val="32"/>
          <w:szCs w:val="32"/>
          <w:lang w:eastAsia="zh-CN"/>
        </w:rPr>
        <w:t>严格执行公务接待制度，厉行节约</w:t>
      </w:r>
      <w:r>
        <w:rPr>
          <w:rFonts w:hint="eastAsia" w:ascii="仿宋_GB2312" w:hAnsi="仿宋_GB2312" w:eastAsia="仿宋_GB2312" w:cs="仿宋_GB2312"/>
          <w:sz w:val="32"/>
          <w:szCs w:val="32"/>
        </w:rPr>
        <w:t>。</w:t>
      </w:r>
    </w:p>
    <w:p>
      <w:pPr>
        <w:ind w:firstLine="630"/>
        <w:jc w:val="left"/>
        <w:rPr>
          <w:rFonts w:hint="eastAsia" w:ascii="仿宋" w:hAnsi="仿宋" w:eastAsia="仿宋"/>
          <w:sz w:val="30"/>
          <w:szCs w:val="30"/>
        </w:rPr>
      </w:pPr>
      <w:r>
        <w:rPr>
          <w:rFonts w:hint="eastAsia" w:ascii="仿宋_GB2312" w:hAnsi="仿宋_GB2312" w:eastAsia="仿宋_GB2312" w:cs="仿宋_GB2312"/>
          <w:sz w:val="32"/>
          <w:szCs w:val="32"/>
        </w:rPr>
        <w:t>（三）公务用车购置及运行维护费支出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万元，其中公务用车购置年初预算数为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万元，决算数为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决算数</w:t>
      </w:r>
      <w:r>
        <w:rPr>
          <w:rFonts w:hint="eastAsia" w:ascii="仿宋_GB2312" w:hAnsi="仿宋_GB2312" w:eastAsia="仿宋_GB2312" w:cs="仿宋_GB2312"/>
          <w:sz w:val="32"/>
          <w:szCs w:val="32"/>
          <w:lang w:eastAsia="zh-CN"/>
        </w:rPr>
        <w:t>与</w:t>
      </w:r>
      <w:r>
        <w:rPr>
          <w:rFonts w:hint="eastAsia" w:ascii="仿宋_GB2312" w:hAnsi="仿宋_GB2312" w:eastAsia="仿宋_GB2312" w:cs="仿宋_GB2312"/>
          <w:sz w:val="32"/>
          <w:szCs w:val="32"/>
          <w:lang w:val="en-US" w:eastAsia="zh-CN"/>
        </w:rPr>
        <w:t>2016年保持一致</w:t>
      </w:r>
      <w:r>
        <w:rPr>
          <w:rFonts w:hint="eastAsia" w:ascii="仿宋_GB2312" w:hAnsi="仿宋_GB2312" w:eastAsia="仿宋_GB2312" w:cs="仿宋_GB2312"/>
          <w:sz w:val="32"/>
          <w:szCs w:val="32"/>
        </w:rPr>
        <w:t>；公务用车运行维护费支出年初预算数为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万元，决算数为</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万元，决算数较2016年减少</w:t>
      </w:r>
      <w:r>
        <w:rPr>
          <w:rFonts w:hint="eastAsia" w:ascii="仿宋_GB2312" w:hAnsi="仿宋_GB2312" w:eastAsia="仿宋_GB2312" w:cs="仿宋_GB2312"/>
          <w:sz w:val="32"/>
          <w:szCs w:val="32"/>
          <w:lang w:val="en-US" w:eastAsia="zh-CN"/>
        </w:rPr>
        <w:t>6.75</w:t>
      </w:r>
      <w:r>
        <w:rPr>
          <w:rFonts w:hint="eastAsia" w:ascii="仿宋_GB2312" w:hAnsi="仿宋_GB2312" w:eastAsia="仿宋_GB2312" w:cs="仿宋_GB2312"/>
          <w:sz w:val="32"/>
          <w:szCs w:val="32"/>
        </w:rPr>
        <w:t>万元，下降</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%。主要原因是：</w:t>
      </w:r>
      <w:r>
        <w:rPr>
          <w:rFonts w:hint="eastAsia" w:ascii="仿宋_GB2312" w:hAnsi="仿宋_GB2312" w:eastAsia="仿宋_GB2312" w:cs="仿宋_GB2312"/>
          <w:sz w:val="32"/>
          <w:szCs w:val="32"/>
          <w:lang w:eastAsia="zh-CN"/>
        </w:rPr>
        <w:t>公务用车制度改革</w:t>
      </w:r>
      <w:r>
        <w:rPr>
          <w:rFonts w:hint="eastAsia" w:ascii="仿宋_GB2312" w:hAnsi="仿宋_GB2312" w:eastAsia="仿宋_GB2312" w:cs="仿宋_GB2312"/>
          <w:sz w:val="32"/>
          <w:szCs w:val="32"/>
        </w:rPr>
        <w:t>。</w:t>
      </w:r>
    </w:p>
    <w:p>
      <w:pPr>
        <w:ind w:firstLine="630"/>
        <w:jc w:val="left"/>
        <w:rPr>
          <w:rFonts w:hint="eastAsia" w:ascii="黑体" w:hAnsi="黑体" w:eastAsia="黑体"/>
          <w:sz w:val="30"/>
          <w:szCs w:val="30"/>
        </w:rPr>
      </w:pPr>
      <w:r>
        <w:rPr>
          <w:rFonts w:hint="eastAsia" w:ascii="黑体" w:hAnsi="黑体" w:eastAsia="黑体"/>
          <w:sz w:val="30"/>
          <w:szCs w:val="30"/>
        </w:rPr>
        <w:t>六、机关运行经费支出情况说明</w:t>
      </w:r>
    </w:p>
    <w:p>
      <w:pPr>
        <w:ind w:firstLine="630"/>
        <w:jc w:val="left"/>
        <w:rPr>
          <w:rFonts w:hint="eastAsia" w:ascii="仿宋" w:hAnsi="仿宋" w:eastAsia="仿宋"/>
          <w:sz w:val="30"/>
          <w:szCs w:val="30"/>
        </w:rPr>
      </w:pPr>
      <w:r>
        <w:rPr>
          <w:rFonts w:hint="eastAsia" w:ascii="仿宋_GB2312" w:hAnsi="仿宋_GB2312" w:eastAsia="仿宋_GB2312" w:cs="仿宋_GB2312"/>
          <w:sz w:val="32"/>
          <w:szCs w:val="32"/>
        </w:rPr>
        <w:t>本部门2017年度机关运行经费支出</w:t>
      </w:r>
      <w:r>
        <w:rPr>
          <w:rFonts w:hint="eastAsia" w:ascii="仿宋_GB2312" w:hAnsi="仿宋_GB2312" w:eastAsia="仿宋_GB2312" w:cs="仿宋_GB2312"/>
          <w:sz w:val="32"/>
          <w:szCs w:val="32"/>
          <w:lang w:val="en-US" w:eastAsia="zh-CN"/>
        </w:rPr>
        <w:t>77.6</w:t>
      </w:r>
      <w:r>
        <w:rPr>
          <w:rFonts w:hint="eastAsia" w:ascii="仿宋_GB2312" w:hAnsi="仿宋_GB2312" w:eastAsia="仿宋_GB2312" w:cs="仿宋_GB2312"/>
          <w:sz w:val="32"/>
          <w:szCs w:val="32"/>
        </w:rPr>
        <w:t>万元，较2016年增加</w:t>
      </w:r>
      <w:r>
        <w:rPr>
          <w:rFonts w:hint="eastAsia" w:ascii="仿宋_GB2312" w:hAnsi="仿宋_GB2312" w:eastAsia="仿宋_GB2312" w:cs="仿宋_GB2312"/>
          <w:sz w:val="32"/>
          <w:szCs w:val="32"/>
          <w:lang w:val="en-US" w:eastAsia="zh-CN"/>
        </w:rPr>
        <w:t>58.92</w:t>
      </w:r>
      <w:r>
        <w:rPr>
          <w:rFonts w:hint="eastAsia" w:ascii="仿宋_GB2312" w:hAnsi="仿宋_GB2312" w:eastAsia="仿宋_GB2312" w:cs="仿宋_GB2312"/>
          <w:sz w:val="32"/>
          <w:szCs w:val="32"/>
        </w:rPr>
        <w:t xml:space="preserve"> 万元，增长</w:t>
      </w:r>
      <w:r>
        <w:rPr>
          <w:rFonts w:hint="eastAsia" w:ascii="仿宋_GB2312" w:hAnsi="仿宋_GB2312" w:eastAsia="仿宋_GB2312" w:cs="仿宋_GB2312"/>
          <w:sz w:val="32"/>
          <w:szCs w:val="32"/>
          <w:lang w:val="en-US" w:eastAsia="zh-CN"/>
        </w:rPr>
        <w:t>315.42</w:t>
      </w:r>
      <w:r>
        <w:rPr>
          <w:rFonts w:hint="eastAsia" w:ascii="仿宋_GB2312" w:hAnsi="仿宋_GB2312" w:eastAsia="仿宋_GB2312" w:cs="仿宋_GB2312"/>
          <w:sz w:val="32"/>
          <w:szCs w:val="32"/>
        </w:rPr>
        <w:t>%，主要原因是：</w:t>
      </w:r>
      <w:r>
        <w:rPr>
          <w:rFonts w:hint="eastAsia" w:ascii="仿宋_GB2312" w:hAnsi="仿宋_GB2312" w:eastAsia="仿宋_GB2312" w:cs="仿宋_GB2312"/>
          <w:sz w:val="32"/>
          <w:szCs w:val="32"/>
          <w:lang w:val="en-US" w:eastAsia="zh-CN"/>
        </w:rPr>
        <w:t>加强对招商引资的投入</w:t>
      </w:r>
      <w:r>
        <w:rPr>
          <w:rFonts w:hint="eastAsia" w:ascii="仿宋_GB2312" w:hAnsi="仿宋_GB2312" w:eastAsia="仿宋_GB2312" w:cs="仿宋_GB2312"/>
          <w:sz w:val="32"/>
          <w:szCs w:val="32"/>
        </w:rPr>
        <w:t>。</w:t>
      </w:r>
      <w:r>
        <w:rPr>
          <w:rFonts w:hint="eastAsia" w:ascii="仿宋" w:hAnsi="仿宋" w:eastAsia="仿宋"/>
          <w:sz w:val="30"/>
          <w:szCs w:val="30"/>
        </w:rPr>
        <w:t xml:space="preserve"> </w:t>
      </w:r>
    </w:p>
    <w:p>
      <w:pPr>
        <w:ind w:firstLine="630"/>
        <w:jc w:val="left"/>
        <w:rPr>
          <w:rFonts w:ascii="黑体" w:hAnsi="黑体" w:eastAsia="黑体"/>
          <w:sz w:val="30"/>
          <w:szCs w:val="30"/>
        </w:rPr>
      </w:pPr>
      <w:r>
        <w:rPr>
          <w:rFonts w:hint="eastAsia" w:ascii="黑体" w:hAnsi="黑体" w:eastAsia="黑体"/>
          <w:sz w:val="30"/>
          <w:szCs w:val="30"/>
        </w:rPr>
        <w:t>七、政府采购支出情况说明</w:t>
      </w:r>
    </w:p>
    <w:p>
      <w:pPr>
        <w:pStyle w:val="15"/>
        <w:spacing w:line="600" w:lineRule="atLeast"/>
        <w:ind w:firstLine="6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本部门2017年度政府采购支出总额</w:t>
      </w:r>
      <w:r>
        <w:rPr>
          <w:rFonts w:hint="eastAsia" w:ascii="仿宋_GB2312" w:hAnsi="仿宋_GB2312" w:eastAsia="仿宋_GB2312" w:cs="仿宋_GB2312"/>
          <w:sz w:val="32"/>
          <w:szCs w:val="32"/>
          <w:lang w:val="en-US" w:eastAsia="zh-CN"/>
        </w:rPr>
        <w:t>2.91</w:t>
      </w:r>
      <w:r>
        <w:rPr>
          <w:rFonts w:hint="eastAsia" w:ascii="仿宋_GB2312" w:hAnsi="仿宋_GB2312" w:eastAsia="仿宋_GB2312" w:cs="仿宋_GB2312"/>
          <w:sz w:val="32"/>
          <w:szCs w:val="32"/>
        </w:rPr>
        <w:t>万元，其中：政府采购货物支出</w:t>
      </w:r>
      <w:r>
        <w:rPr>
          <w:rFonts w:hint="eastAsia" w:ascii="仿宋_GB2312" w:hAnsi="仿宋_GB2312" w:eastAsia="仿宋_GB2312" w:cs="仿宋_GB2312"/>
          <w:sz w:val="32"/>
          <w:szCs w:val="32"/>
          <w:lang w:val="en-US" w:eastAsia="zh-CN"/>
        </w:rPr>
        <w:t>2.91</w:t>
      </w:r>
      <w:r>
        <w:rPr>
          <w:rFonts w:hint="eastAsia" w:ascii="仿宋_GB2312" w:hAnsi="仿宋_GB2312" w:eastAsia="仿宋_GB2312" w:cs="仿宋_GB2312"/>
          <w:sz w:val="32"/>
          <w:szCs w:val="32"/>
        </w:rPr>
        <w:t>万元、占政府采购支出总额的</w:t>
      </w:r>
      <w:r>
        <w:rPr>
          <w:rFonts w:hint="eastAsia" w:ascii="仿宋_GB2312" w:hAnsi="仿宋_GB2312" w:eastAsia="仿宋_GB2312" w:cs="仿宋_GB2312"/>
          <w:sz w:val="32"/>
          <w:szCs w:val="32"/>
          <w:lang w:val="en-US" w:eastAsia="zh-CN"/>
        </w:rPr>
        <w:t>100</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p>
    <w:p>
      <w:pPr>
        <w:ind w:firstLine="630"/>
        <w:jc w:val="left"/>
        <w:rPr>
          <w:rFonts w:hint="eastAsia" w:ascii="黑体" w:hAnsi="黑体" w:eastAsia="黑体"/>
          <w:sz w:val="30"/>
          <w:szCs w:val="30"/>
        </w:rPr>
      </w:pPr>
      <w:r>
        <w:rPr>
          <w:rFonts w:hint="eastAsia" w:ascii="黑体" w:hAnsi="黑体" w:eastAsia="黑体"/>
          <w:sz w:val="30"/>
          <w:szCs w:val="30"/>
        </w:rPr>
        <w:t>八、预算绩效情况说明</w:t>
      </w:r>
    </w:p>
    <w:p>
      <w:pPr>
        <w:autoSpaceDE w:val="0"/>
        <w:autoSpaceDN w:val="0"/>
        <w:adjustRightInd w:val="0"/>
        <w:spacing w:line="360" w:lineRule="auto"/>
        <w:jc w:val="left"/>
        <w:rPr>
          <w:rFonts w:hint="eastAsia" w:ascii="仿宋_GB2312" w:hAnsi="仿宋_GB2312" w:eastAsia="仿宋_GB2312" w:cs="仿宋_GB2312"/>
          <w:kern w:val="0"/>
          <w:sz w:val="32"/>
          <w:szCs w:val="32"/>
          <w:lang w:val="en-US" w:eastAsia="zh-CN" w:bidi="ar-SA"/>
        </w:rPr>
      </w:pPr>
      <w:r>
        <w:rPr>
          <w:rFonts w:hint="eastAsia" w:ascii="仿宋" w:hAnsi="仿宋" w:eastAsia="仿宋" w:cs="仿宋_GB2312"/>
          <w:kern w:val="0"/>
          <w:sz w:val="30"/>
          <w:szCs w:val="30"/>
        </w:rPr>
        <w:t xml:space="preserve"> </w:t>
      </w:r>
      <w:r>
        <w:rPr>
          <w:rFonts w:hint="eastAsia" w:ascii="仿宋_GB2312" w:hAnsi="仿宋_GB2312" w:eastAsia="仿宋_GB2312" w:cs="仿宋_GB2312"/>
          <w:kern w:val="0"/>
          <w:sz w:val="32"/>
          <w:szCs w:val="32"/>
          <w:lang w:val="en-US" w:eastAsia="zh-CN" w:bidi="ar-SA"/>
        </w:rPr>
        <w:t xml:space="preserve">   2017年，我单位以绩效目标实现为导向，进一步加强制度建设，提升自评质量，预算绩效管理取得新成效。一是抓好绩效目标编制，及时报送绩效目标。二是探索绩效跟踪监控，要求加强过程监控。三是深入开展财政支出绩效评价，对专项资金实施绩效自评和项目核查，在此基础上形成自评报告。四是强化评价结果应用，组织绩效自评和绩效跟踪监控，对发现的问题及时改进，加强评价结果与项目资金安排的衔接。五是健全绩效管理工作机制，明确职责分工，努力提高了绩效管理工作水平。</w:t>
      </w:r>
    </w:p>
    <w:p>
      <w:pPr>
        <w:ind w:firstLine="643" w:firstLineChars="200"/>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九、国有资产占用情况说明</w:t>
      </w:r>
    </w:p>
    <w:p>
      <w:pPr>
        <w:widowControl/>
        <w:spacing w:line="600" w:lineRule="exact"/>
        <w:ind w:firstLine="640" w:firstLineChars="200"/>
        <w:jc w:val="both"/>
        <w:rPr>
          <w:rFonts w:hint="eastAsia" w:ascii="宋体" w:hAnsi="宋体" w:eastAsia="仿宋_GB2312"/>
          <w:b/>
          <w:sz w:val="32"/>
          <w:szCs w:val="32"/>
          <w:lang w:val="en-US" w:eastAsia="zh-CN"/>
        </w:rPr>
      </w:pPr>
      <w:r>
        <w:rPr>
          <w:rFonts w:hint="eastAsia" w:ascii="仿宋_GB2312" w:hAnsi="仿宋_GB2312" w:eastAsia="仿宋_GB2312" w:cs="仿宋_GB2312"/>
          <w:sz w:val="32"/>
          <w:szCs w:val="32"/>
        </w:rPr>
        <w:t>截止2017年，</w:t>
      </w:r>
      <w:r>
        <w:rPr>
          <w:rFonts w:hint="eastAsia" w:ascii="仿宋_GB2312" w:hAnsi="仿宋_GB2312" w:eastAsia="仿宋_GB2312" w:cs="仿宋_GB2312"/>
          <w:sz w:val="32"/>
          <w:szCs w:val="32"/>
          <w:lang w:eastAsia="zh-CN"/>
        </w:rPr>
        <w:t>本</w:t>
      </w:r>
      <w:r>
        <w:rPr>
          <w:rFonts w:hint="eastAsia" w:ascii="仿宋_GB2312" w:hAnsi="仿宋_GB2312" w:eastAsia="仿宋_GB2312" w:cs="仿宋_GB2312"/>
          <w:sz w:val="32"/>
          <w:szCs w:val="32"/>
        </w:rPr>
        <w:t>部门共有车辆</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sz w:val="32"/>
          <w:szCs w:val="32"/>
        </w:rPr>
        <w:t>辆</w:t>
      </w:r>
      <w:r>
        <w:rPr>
          <w:rFonts w:hint="eastAsia" w:ascii="仿宋_GB2312" w:hAnsi="仿宋_GB2312" w:eastAsia="仿宋_GB2312" w:cs="仿宋_GB2312"/>
          <w:sz w:val="32"/>
          <w:szCs w:val="32"/>
          <w:lang w:eastAsia="zh-CN"/>
        </w:rPr>
        <w:t>，其中一般公务用车</w:t>
      </w:r>
      <w:r>
        <w:rPr>
          <w:rFonts w:hint="eastAsia" w:ascii="仿宋_GB2312" w:hAnsi="仿宋_GB2312" w:eastAsia="仿宋_GB2312" w:cs="仿宋_GB2312"/>
          <w:sz w:val="32"/>
          <w:szCs w:val="32"/>
          <w:lang w:val="en-US" w:eastAsia="zh-CN"/>
        </w:rPr>
        <w:t>1辆。</w:t>
      </w:r>
    </w:p>
    <w:p>
      <w:pPr>
        <w:widowControl/>
        <w:spacing w:line="600" w:lineRule="exact"/>
        <w:jc w:val="both"/>
        <w:rPr>
          <w:rFonts w:hint="eastAsia" w:ascii="宋体" w:hAnsi="宋体"/>
          <w:b/>
          <w:sz w:val="32"/>
          <w:szCs w:val="32"/>
        </w:rPr>
      </w:pPr>
    </w:p>
    <w:p>
      <w:pPr>
        <w:widowControl/>
        <w:spacing w:line="600" w:lineRule="exact"/>
        <w:jc w:val="both"/>
        <w:rPr>
          <w:rFonts w:hint="eastAsia" w:ascii="宋体" w:hAnsi="宋体"/>
          <w:b/>
          <w:sz w:val="32"/>
          <w:szCs w:val="32"/>
        </w:rPr>
      </w:pPr>
      <w:bookmarkStart w:id="0" w:name="_GoBack"/>
      <w:bookmarkEnd w:id="0"/>
    </w:p>
    <w:p>
      <w:pPr>
        <w:widowControl/>
        <w:spacing w:line="600" w:lineRule="exact"/>
        <w:ind w:firstLine="640"/>
        <w:jc w:val="center"/>
        <w:rPr>
          <w:rFonts w:hint="eastAsia" w:ascii="宋体" w:hAnsi="宋体"/>
          <w:b/>
          <w:sz w:val="32"/>
          <w:szCs w:val="32"/>
        </w:rPr>
      </w:pPr>
      <w:r>
        <w:rPr>
          <w:rFonts w:hint="eastAsia" w:ascii="宋体" w:hAnsi="宋体"/>
          <w:b/>
          <w:sz w:val="32"/>
          <w:szCs w:val="32"/>
        </w:rPr>
        <w:t>第四部分  名词解释</w:t>
      </w:r>
    </w:p>
    <w:p>
      <w:pPr>
        <w:pStyle w:val="4"/>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00" w:firstLineChars="200"/>
        <w:textAlignment w:val="auto"/>
        <w:outlineLvl w:val="9"/>
        <w:rPr>
          <w:rFonts w:hint="eastAsia" w:ascii="仿宋_GB2312" w:hAnsi="仿宋_GB2312" w:eastAsia="仿宋_GB2312" w:cs="仿宋_GB2312"/>
          <w:kern w:val="0"/>
          <w:sz w:val="32"/>
          <w:szCs w:val="32"/>
        </w:rPr>
      </w:pPr>
      <w:r>
        <w:rPr>
          <w:rFonts w:hint="eastAsia" w:ascii="仿宋" w:hAnsi="仿宋" w:eastAsia="仿宋"/>
          <w:kern w:val="0"/>
          <w:sz w:val="30"/>
          <w:szCs w:val="30"/>
        </w:rPr>
        <w:t xml:space="preserve"> </w:t>
      </w:r>
      <w:r>
        <w:rPr>
          <w:rFonts w:hint="eastAsia" w:ascii="仿宋_GB2312" w:hAnsi="仿宋_GB2312" w:eastAsia="仿宋_GB2312" w:cs="仿宋_GB2312"/>
          <w:kern w:val="0"/>
          <w:sz w:val="32"/>
          <w:szCs w:val="32"/>
        </w:rPr>
        <w:t xml:space="preserve">财政拨款收入：指单位本年度从县级财政部门取得的财政拨款。  </w:t>
      </w:r>
    </w:p>
    <w:p>
      <w:pPr>
        <w:pStyle w:val="4"/>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基本支出：指为保障机构正常运转、完成日常工作任务而发生的人员支出和公用支出。 </w:t>
      </w:r>
    </w:p>
    <w:p>
      <w:pPr>
        <w:pStyle w:val="4"/>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项目支出：指在基本支出之外为完成特定的行政任务或事业发展目标所发生的支出。 </w:t>
      </w:r>
    </w:p>
    <w:p>
      <w:pPr>
        <w:pStyle w:val="4"/>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三公”经费：指各部门用一般公共预算财政拨款安排的因公出国（境）费、公务用车购置及运行费和公务接待费。其中，因公出国（境）费指单位公务出国（境）的住宿费、旅费、伙食补助费、杂费、培训费等支出；公务用车购置及运行费指单位公务用车购置费及租用费、燃料费、维修费、过路过桥费、保险费、安全奖励费用等支出；公务接待费指单位按规定开支的各类公务接待（含外宾接待）支出。 </w:t>
      </w:r>
    </w:p>
    <w:p>
      <w:pPr>
        <w:pStyle w:val="4"/>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机关运行经费：指为保障行政单位（含参照公务员法管理的事业单位）运行用于购买货物和服务的各项资金，包括办公费、印刷费、差旅费、会议费、日常维修费、专用材料及办公用房水电费、物业管理费、公务用车运行维护费等。 </w:t>
      </w:r>
    </w:p>
    <w:p>
      <w:pPr>
        <w:pStyle w:val="4"/>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一般公共服务（类）财政事务（款）行政运行（项）：指财政厅行政单位及参照公务员法管理的事业单位，用于保障机构正常运行、开展日常工作的基本支出。</w:t>
      </w:r>
    </w:p>
    <w:p>
      <w:pPr>
        <w:pStyle w:val="4"/>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社会保障和就业支出（类）行政事业单位离退休（款）事业单位离退休（项）：指实行归口管理的事业单位开支的离退休经费。</w:t>
      </w:r>
    </w:p>
    <w:p>
      <w:pPr>
        <w:pStyle w:val="4"/>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社会保障和就业支出（类）行政事业单位离退休（款）行政单位离退休（项）：指未归口管理的行政单位开支的离退休经费。</w:t>
      </w:r>
    </w:p>
    <w:p>
      <w:pPr>
        <w:pStyle w:val="4"/>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社会保障和就业支出（类）行政事业单位离退休（款）机关事业单位基本养老保险缴费支出（项）：指机关事业单位实施养老保险制度由单位缴纳的基本养老保险支出。</w:t>
      </w:r>
    </w:p>
    <w:p>
      <w:pPr>
        <w:pStyle w:val="4"/>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医疗卫生和计划生育支出（类）行政事业单位医疗（款）行政单位医疗（项）：指财政部门集中安排的行政单位基本医疗保险缴费经费，未参加医疗保险的行政单位的公费医疗经费，按国家规定享受离休人员、红军老战士待遇人员的医疗经费。</w:t>
      </w:r>
    </w:p>
    <w:p>
      <w:pPr>
        <w:pStyle w:val="4"/>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outlineLvl w:val="9"/>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住房保障支出（类）住房改革支出（款）购房补贴（项）：指按房改政策规定，向符合条件的职工发放用于购买住房的补贴。</w:t>
      </w:r>
    </w:p>
    <w:p>
      <w:pPr>
        <w:pStyle w:val="4"/>
        <w:keepNext w:val="0"/>
        <w:keepLines w:val="0"/>
        <w:pageBreakBefore w:val="0"/>
        <w:widowControl/>
        <w:kinsoku/>
        <w:wordWrap/>
        <w:overflowPunct/>
        <w:topLinePunct w:val="0"/>
        <w:autoSpaceDE/>
        <w:autoSpaceDN/>
        <w:bidi w:val="0"/>
        <w:adjustRightInd/>
        <w:snapToGrid/>
        <w:spacing w:beforeAutospacing="0" w:afterAutospacing="0" w:line="560" w:lineRule="exact"/>
        <w:ind w:left="0" w:leftChars="0" w:right="0" w:rightChars="0" w:firstLine="640" w:firstLineChars="200"/>
        <w:textAlignment w:val="auto"/>
        <w:outlineLvl w:val="9"/>
        <w:rPr>
          <w:rFonts w:hint="eastAsia" w:ascii="仿宋_GB2312" w:hAnsi="仿宋_GB2312" w:eastAsia="仿宋_GB2312" w:cs="仿宋_GB2312"/>
          <w:kern w:val="0"/>
          <w:sz w:val="32"/>
          <w:szCs w:val="32"/>
        </w:rPr>
      </w:pPr>
    </w:p>
    <w:p>
      <w:pPr>
        <w:ind w:firstLine="630"/>
        <w:jc w:val="left"/>
        <w:rPr>
          <w:rFonts w:hint="eastAsia" w:ascii="仿宋" w:hAnsi="仿宋" w:eastAsia="仿宋"/>
          <w:sz w:val="30"/>
          <w:szCs w:val="30"/>
          <w:lang w:eastAsia="zh-CN"/>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4E5735"/>
    <w:rsid w:val="002B67A8"/>
    <w:rsid w:val="010B5EEE"/>
    <w:rsid w:val="0117300A"/>
    <w:rsid w:val="022F4158"/>
    <w:rsid w:val="03334969"/>
    <w:rsid w:val="039972CB"/>
    <w:rsid w:val="03B33117"/>
    <w:rsid w:val="03BC309D"/>
    <w:rsid w:val="03E24929"/>
    <w:rsid w:val="045D5173"/>
    <w:rsid w:val="06487DB9"/>
    <w:rsid w:val="07E403A9"/>
    <w:rsid w:val="07FE6E25"/>
    <w:rsid w:val="08A5129D"/>
    <w:rsid w:val="08AD39A2"/>
    <w:rsid w:val="08B94550"/>
    <w:rsid w:val="08D90D21"/>
    <w:rsid w:val="09770C19"/>
    <w:rsid w:val="09EB2AF5"/>
    <w:rsid w:val="0ABC53CC"/>
    <w:rsid w:val="0AF66A7C"/>
    <w:rsid w:val="0C4B6EBD"/>
    <w:rsid w:val="0CF455B9"/>
    <w:rsid w:val="0DA226A1"/>
    <w:rsid w:val="0E0241B4"/>
    <w:rsid w:val="0F8E469A"/>
    <w:rsid w:val="0FF72107"/>
    <w:rsid w:val="10051086"/>
    <w:rsid w:val="10090CC1"/>
    <w:rsid w:val="10A234E0"/>
    <w:rsid w:val="112F4147"/>
    <w:rsid w:val="11C04BD0"/>
    <w:rsid w:val="12315E7C"/>
    <w:rsid w:val="12A3228B"/>
    <w:rsid w:val="135B75E3"/>
    <w:rsid w:val="13654321"/>
    <w:rsid w:val="13867DAF"/>
    <w:rsid w:val="15056C3E"/>
    <w:rsid w:val="153366AC"/>
    <w:rsid w:val="16596B00"/>
    <w:rsid w:val="17C37EC4"/>
    <w:rsid w:val="180E7C6A"/>
    <w:rsid w:val="188B42FD"/>
    <w:rsid w:val="189A2CE7"/>
    <w:rsid w:val="192C2301"/>
    <w:rsid w:val="19587557"/>
    <w:rsid w:val="1C704B4A"/>
    <w:rsid w:val="1CCE2330"/>
    <w:rsid w:val="1D0510DD"/>
    <w:rsid w:val="1D1417A2"/>
    <w:rsid w:val="213B63B1"/>
    <w:rsid w:val="21643BA2"/>
    <w:rsid w:val="21A355C0"/>
    <w:rsid w:val="21EB44BA"/>
    <w:rsid w:val="22215FEC"/>
    <w:rsid w:val="223C0F06"/>
    <w:rsid w:val="22BB77BF"/>
    <w:rsid w:val="23630BA9"/>
    <w:rsid w:val="266F6F5F"/>
    <w:rsid w:val="26A65F9C"/>
    <w:rsid w:val="28EE3937"/>
    <w:rsid w:val="292973C3"/>
    <w:rsid w:val="292A1EB7"/>
    <w:rsid w:val="29807378"/>
    <w:rsid w:val="29BA3FFF"/>
    <w:rsid w:val="29D7746A"/>
    <w:rsid w:val="2A7444C6"/>
    <w:rsid w:val="2AF15FD0"/>
    <w:rsid w:val="2C7E3EAA"/>
    <w:rsid w:val="2C9504BB"/>
    <w:rsid w:val="2D860FC5"/>
    <w:rsid w:val="2DB76AE7"/>
    <w:rsid w:val="2E964C51"/>
    <w:rsid w:val="2EDB7F84"/>
    <w:rsid w:val="2F1B4CF2"/>
    <w:rsid w:val="2F91791F"/>
    <w:rsid w:val="2FD44EC2"/>
    <w:rsid w:val="304578E1"/>
    <w:rsid w:val="30A8349F"/>
    <w:rsid w:val="310F6DAE"/>
    <w:rsid w:val="316C643E"/>
    <w:rsid w:val="31873C70"/>
    <w:rsid w:val="31A7656A"/>
    <w:rsid w:val="31EB6CF2"/>
    <w:rsid w:val="328146BC"/>
    <w:rsid w:val="339424B3"/>
    <w:rsid w:val="35315B20"/>
    <w:rsid w:val="36073ECE"/>
    <w:rsid w:val="367720EA"/>
    <w:rsid w:val="3729614E"/>
    <w:rsid w:val="374177C1"/>
    <w:rsid w:val="37632327"/>
    <w:rsid w:val="37F65367"/>
    <w:rsid w:val="381354D9"/>
    <w:rsid w:val="38C607E8"/>
    <w:rsid w:val="38E21C49"/>
    <w:rsid w:val="38F52A05"/>
    <w:rsid w:val="3A3C700E"/>
    <w:rsid w:val="3C3542B9"/>
    <w:rsid w:val="3C372FEB"/>
    <w:rsid w:val="3E0C2673"/>
    <w:rsid w:val="3E225168"/>
    <w:rsid w:val="3EE9342D"/>
    <w:rsid w:val="3FD0663A"/>
    <w:rsid w:val="404C43F6"/>
    <w:rsid w:val="406D7BA4"/>
    <w:rsid w:val="423A2C4A"/>
    <w:rsid w:val="42785F6D"/>
    <w:rsid w:val="42A802F9"/>
    <w:rsid w:val="42D03033"/>
    <w:rsid w:val="42E745F7"/>
    <w:rsid w:val="436D003F"/>
    <w:rsid w:val="44755F65"/>
    <w:rsid w:val="4601085B"/>
    <w:rsid w:val="465C3EB2"/>
    <w:rsid w:val="46752238"/>
    <w:rsid w:val="470E30FB"/>
    <w:rsid w:val="47A27234"/>
    <w:rsid w:val="49362709"/>
    <w:rsid w:val="49A478E7"/>
    <w:rsid w:val="4B776412"/>
    <w:rsid w:val="4B9135B8"/>
    <w:rsid w:val="4BE86C52"/>
    <w:rsid w:val="4C060721"/>
    <w:rsid w:val="4D376C17"/>
    <w:rsid w:val="4E251248"/>
    <w:rsid w:val="4EC6637F"/>
    <w:rsid w:val="4F61489D"/>
    <w:rsid w:val="4FEF0955"/>
    <w:rsid w:val="54190734"/>
    <w:rsid w:val="54797E82"/>
    <w:rsid w:val="54D31E6C"/>
    <w:rsid w:val="555E23DF"/>
    <w:rsid w:val="55F944F8"/>
    <w:rsid w:val="5605035C"/>
    <w:rsid w:val="577C75FA"/>
    <w:rsid w:val="57B70A1D"/>
    <w:rsid w:val="57E643FB"/>
    <w:rsid w:val="5882273F"/>
    <w:rsid w:val="593F65EF"/>
    <w:rsid w:val="595E2715"/>
    <w:rsid w:val="5BAE042C"/>
    <w:rsid w:val="5BCF4EF2"/>
    <w:rsid w:val="5C9F4979"/>
    <w:rsid w:val="5D1F759F"/>
    <w:rsid w:val="5D4301CC"/>
    <w:rsid w:val="5DDC3389"/>
    <w:rsid w:val="5E0A0B2E"/>
    <w:rsid w:val="5E1174FD"/>
    <w:rsid w:val="5E930354"/>
    <w:rsid w:val="5F126564"/>
    <w:rsid w:val="5F5F38A1"/>
    <w:rsid w:val="600D4853"/>
    <w:rsid w:val="616F13B0"/>
    <w:rsid w:val="61E960AD"/>
    <w:rsid w:val="634D239B"/>
    <w:rsid w:val="6374226D"/>
    <w:rsid w:val="637B7546"/>
    <w:rsid w:val="641146FF"/>
    <w:rsid w:val="654C47DE"/>
    <w:rsid w:val="65A170EF"/>
    <w:rsid w:val="66037CB4"/>
    <w:rsid w:val="664E5735"/>
    <w:rsid w:val="674657D4"/>
    <w:rsid w:val="674F5E2D"/>
    <w:rsid w:val="688326C5"/>
    <w:rsid w:val="69FB13B8"/>
    <w:rsid w:val="6A1046EB"/>
    <w:rsid w:val="6A1116B6"/>
    <w:rsid w:val="6A311FF3"/>
    <w:rsid w:val="6AD122E6"/>
    <w:rsid w:val="6B6771A4"/>
    <w:rsid w:val="6BBC6EC5"/>
    <w:rsid w:val="6DDE7339"/>
    <w:rsid w:val="6E3C6392"/>
    <w:rsid w:val="6E4A0C22"/>
    <w:rsid w:val="6EA703F4"/>
    <w:rsid w:val="6FDA785C"/>
    <w:rsid w:val="717D3856"/>
    <w:rsid w:val="72124EA2"/>
    <w:rsid w:val="74AF6142"/>
    <w:rsid w:val="75080220"/>
    <w:rsid w:val="752B7940"/>
    <w:rsid w:val="754A4471"/>
    <w:rsid w:val="75EC5788"/>
    <w:rsid w:val="75F6689A"/>
    <w:rsid w:val="767F2D24"/>
    <w:rsid w:val="76D0611A"/>
    <w:rsid w:val="77290AF1"/>
    <w:rsid w:val="774509F5"/>
    <w:rsid w:val="774820D2"/>
    <w:rsid w:val="77860C95"/>
    <w:rsid w:val="780F10BB"/>
    <w:rsid w:val="78961742"/>
    <w:rsid w:val="79BE2DA8"/>
    <w:rsid w:val="7A947F22"/>
    <w:rsid w:val="7B153031"/>
    <w:rsid w:val="7B2942E0"/>
    <w:rsid w:val="7B7754A3"/>
    <w:rsid w:val="7B974BF4"/>
    <w:rsid w:val="7C2B2581"/>
    <w:rsid w:val="7C59394B"/>
    <w:rsid w:val="7CB47EF5"/>
    <w:rsid w:val="7CCD438D"/>
    <w:rsid w:val="7DC173AD"/>
    <w:rsid w:val="7EAA780D"/>
    <w:rsid w:val="7FD23FD9"/>
    <w:rsid w:val="7FFC3E1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FollowedHyperlink"/>
    <w:basedOn w:val="6"/>
    <w:qFormat/>
    <w:uiPriority w:val="0"/>
    <w:rPr>
      <w:color w:val="333333"/>
      <w:u w:val="none"/>
    </w:rPr>
  </w:style>
  <w:style w:type="paragraph" w:customStyle="1" w:styleId="8">
    <w:name w:val="_Style 2"/>
    <w:qFormat/>
    <w:uiPriority w:val="1"/>
    <w:rPr>
      <w:rFonts w:ascii="Calibri" w:hAnsi="Calibri" w:eastAsiaTheme="minorEastAsia" w:cstheme="minorBidi"/>
      <w:sz w:val="22"/>
      <w:szCs w:val="22"/>
      <w:lang w:val="en-US" w:eastAsia="zh-CN" w:bidi="ar-SA"/>
    </w:rPr>
  </w:style>
  <w:style w:type="character" w:customStyle="1" w:styleId="9">
    <w:name w:val="bds_more"/>
    <w:basedOn w:val="6"/>
    <w:qFormat/>
    <w:uiPriority w:val="0"/>
  </w:style>
  <w:style w:type="character" w:customStyle="1" w:styleId="10">
    <w:name w:val="bds_more1"/>
    <w:basedOn w:val="6"/>
    <w:qFormat/>
    <w:uiPriority w:val="0"/>
    <w:rPr>
      <w:rFonts w:hint="eastAsia" w:ascii="宋体" w:hAnsi="宋体" w:eastAsia="宋体" w:cs="宋体"/>
    </w:rPr>
  </w:style>
  <w:style w:type="character" w:customStyle="1" w:styleId="11">
    <w:name w:val="bds_more2"/>
    <w:basedOn w:val="6"/>
    <w:qFormat/>
    <w:uiPriority w:val="0"/>
  </w:style>
  <w:style w:type="character" w:customStyle="1" w:styleId="12">
    <w:name w:val="bds_nopic"/>
    <w:basedOn w:val="6"/>
    <w:qFormat/>
    <w:uiPriority w:val="0"/>
  </w:style>
  <w:style w:type="character" w:customStyle="1" w:styleId="13">
    <w:name w:val="bds_nopic1"/>
    <w:basedOn w:val="6"/>
    <w:qFormat/>
    <w:uiPriority w:val="0"/>
  </w:style>
  <w:style w:type="character" w:customStyle="1" w:styleId="14">
    <w:name w:val="bds_nopic2"/>
    <w:basedOn w:val="6"/>
    <w:qFormat/>
    <w:uiPriority w:val="0"/>
  </w:style>
  <w:style w:type="paragraph" w:customStyle="1" w:styleId="15">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2016-08-30T08:39:00Z</dcterms:created>
  <dc:creator>fxcz</dc:creator>
  <cp:lastModifiedBy>Administrator</cp:lastModifiedBy>
  <cp:lastPrinted>2018-08-30T01:31:00Z</cp:lastPrinted>
  <dcterms:modified xsi:type="dcterms:W3CDTF">2019-03-22T03:44:36Z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