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tblpY="-495"/>
        <w:tblW w:w="8537" w:type="dxa"/>
        <w:tblInd w:w="0" w:type="dxa"/>
        <w:tblLayout w:type="fixed"/>
        <w:tblCellMar>
          <w:top w:w="0" w:type="dxa"/>
          <w:left w:w="108" w:type="dxa"/>
          <w:bottom w:w="0" w:type="dxa"/>
          <w:right w:w="108" w:type="dxa"/>
        </w:tblCellMar>
      </w:tblPr>
      <w:tblGrid>
        <w:gridCol w:w="8537"/>
      </w:tblGrid>
      <w:tr>
        <w:tblPrEx>
          <w:tblLayout w:type="fixed"/>
          <w:tblCellMar>
            <w:top w:w="0" w:type="dxa"/>
            <w:left w:w="108" w:type="dxa"/>
            <w:bottom w:w="0" w:type="dxa"/>
            <w:right w:w="108" w:type="dxa"/>
          </w:tblCellMar>
        </w:tblPrEx>
        <w:trPr>
          <w:trHeight w:val="3043" w:hRule="atLeast"/>
        </w:trPr>
        <w:tc>
          <w:tcPr>
            <w:tcW w:w="8537" w:type="dxa"/>
            <w:vAlign w:val="top"/>
          </w:tcPr>
          <w:p>
            <w:pPr>
              <w:pStyle w:val="8"/>
              <w:rPr>
                <w:rFonts w:ascii="黑体" w:hAnsi="黑体" w:eastAsia="黑体"/>
                <w:caps/>
                <w:sz w:val="32"/>
                <w:szCs w:val="32"/>
              </w:rPr>
            </w:pPr>
            <w:r>
              <w:rPr>
                <w:rFonts w:hint="eastAsia" w:ascii="黑体" w:hAnsi="黑体" w:eastAsia="黑体"/>
                <w:caps/>
                <w:sz w:val="32"/>
                <w:szCs w:val="32"/>
              </w:rPr>
              <w:t>附件:</w:t>
            </w:r>
          </w:p>
        </w:tc>
      </w:tr>
      <w:tr>
        <w:tblPrEx>
          <w:tblLayout w:type="fixed"/>
          <w:tblCellMar>
            <w:top w:w="0" w:type="dxa"/>
            <w:left w:w="108" w:type="dxa"/>
            <w:bottom w:w="0" w:type="dxa"/>
            <w:right w:w="108" w:type="dxa"/>
          </w:tblCellMar>
        </w:tblPrEx>
        <w:trPr>
          <w:trHeight w:val="1521" w:hRule="atLeast"/>
        </w:trPr>
        <w:tc>
          <w:tcPr>
            <w:tcW w:w="8537" w:type="dxa"/>
            <w:tcBorders>
              <w:bottom w:val="single" w:color="4F81BD" w:sz="4" w:space="0"/>
            </w:tcBorders>
            <w:vAlign w:val="center"/>
          </w:tcPr>
          <w:p>
            <w:pPr>
              <w:pStyle w:val="8"/>
              <w:jc w:val="center"/>
              <w:rPr>
                <w:rFonts w:ascii="Cambria" w:hAnsi="Cambria"/>
                <w:sz w:val="80"/>
                <w:szCs w:val="80"/>
              </w:rPr>
            </w:pPr>
            <w:r>
              <w:rPr>
                <w:rFonts w:hint="eastAsia" w:ascii="Cambria" w:hAnsi="Cambria"/>
                <w:b/>
                <w:sz w:val="80"/>
                <w:szCs w:val="80"/>
              </w:rPr>
              <w:t>20</w:t>
            </w:r>
            <w:r>
              <w:rPr>
                <w:rFonts w:hint="eastAsia" w:ascii="Cambria" w:hAnsi="Cambria"/>
                <w:b/>
                <w:sz w:val="80"/>
                <w:szCs w:val="80"/>
                <w:lang w:val="en-US" w:eastAsia="zh-CN"/>
              </w:rPr>
              <w:t>17</w:t>
            </w:r>
            <w:r>
              <w:rPr>
                <w:rFonts w:hint="eastAsia" w:ascii="Cambria" w:hAnsi="Cambria"/>
                <w:b/>
                <w:sz w:val="80"/>
                <w:szCs w:val="80"/>
              </w:rPr>
              <w:t>年部门决算</w:t>
            </w:r>
          </w:p>
        </w:tc>
      </w:tr>
      <w:tr>
        <w:tblPrEx>
          <w:tblLayout w:type="fixed"/>
          <w:tblCellMar>
            <w:top w:w="0" w:type="dxa"/>
            <w:left w:w="108" w:type="dxa"/>
            <w:bottom w:w="0" w:type="dxa"/>
            <w:right w:w="108" w:type="dxa"/>
          </w:tblCellMar>
        </w:tblPrEx>
        <w:trPr>
          <w:trHeight w:val="761" w:hRule="atLeast"/>
        </w:trPr>
        <w:tc>
          <w:tcPr>
            <w:tcW w:w="8537" w:type="dxa"/>
            <w:tcBorders>
              <w:top w:val="single" w:color="4F81BD" w:sz="4" w:space="0"/>
            </w:tcBorders>
            <w:vAlign w:val="center"/>
          </w:tcPr>
          <w:p>
            <w:pPr>
              <w:pStyle w:val="8"/>
              <w:jc w:val="center"/>
              <w:rPr>
                <w:rFonts w:ascii="Cambria" w:hAnsi="Cambria"/>
                <w:sz w:val="44"/>
                <w:szCs w:val="44"/>
              </w:rPr>
            </w:pPr>
          </w:p>
        </w:tc>
      </w:tr>
      <w:tr>
        <w:tblPrEx>
          <w:tblLayout w:type="fixed"/>
          <w:tblCellMar>
            <w:top w:w="0" w:type="dxa"/>
            <w:left w:w="108" w:type="dxa"/>
            <w:bottom w:w="0" w:type="dxa"/>
            <w:right w:w="108" w:type="dxa"/>
          </w:tblCellMar>
        </w:tblPrEx>
        <w:trPr>
          <w:trHeight w:val="380" w:hRule="atLeast"/>
        </w:trPr>
        <w:tc>
          <w:tcPr>
            <w:tcW w:w="8537" w:type="dxa"/>
            <w:vAlign w:val="center"/>
          </w:tcPr>
          <w:p>
            <w:pPr>
              <w:pStyle w:val="8"/>
              <w:jc w:val="center"/>
              <w:rPr>
                <w:rFonts w:hint="eastAsia"/>
              </w:rPr>
            </w:pPr>
          </w:p>
          <w:p>
            <w:pPr>
              <w:pStyle w:val="8"/>
              <w:jc w:val="center"/>
              <w:rPr>
                <w:rFonts w:hint="eastAsia"/>
              </w:rPr>
            </w:pPr>
          </w:p>
          <w:p>
            <w:pPr>
              <w:pStyle w:val="8"/>
              <w:jc w:val="center"/>
              <w:rPr>
                <w:rFonts w:hint="eastAsia"/>
              </w:rPr>
            </w:pPr>
          </w:p>
          <w:p>
            <w:pPr>
              <w:pStyle w:val="8"/>
              <w:jc w:val="center"/>
              <w:rPr>
                <w:rFonts w:hint="eastAsia"/>
              </w:rPr>
            </w:pPr>
          </w:p>
          <w:p>
            <w:pPr>
              <w:pStyle w:val="8"/>
              <w:jc w:val="center"/>
            </w:pPr>
          </w:p>
        </w:tc>
      </w:tr>
      <w:tr>
        <w:tblPrEx>
          <w:tblLayout w:type="fixed"/>
          <w:tblCellMar>
            <w:top w:w="0" w:type="dxa"/>
            <w:left w:w="108" w:type="dxa"/>
            <w:bottom w:w="0" w:type="dxa"/>
            <w:right w:w="108" w:type="dxa"/>
          </w:tblCellMar>
        </w:tblPrEx>
        <w:trPr>
          <w:trHeight w:val="1513" w:hRule="atLeast"/>
        </w:trPr>
        <w:tc>
          <w:tcPr>
            <w:tcW w:w="8537" w:type="dxa"/>
            <w:vAlign w:val="center"/>
          </w:tcPr>
          <w:p>
            <w:pPr>
              <w:pStyle w:val="8"/>
              <w:rPr>
                <w:rFonts w:hint="eastAsia" w:eastAsiaTheme="minorEastAsia"/>
                <w:b/>
                <w:bCs/>
                <w:lang w:val="en-US" w:eastAsia="zh-CN"/>
              </w:rPr>
            </w:pPr>
            <w:r>
              <w:rPr>
                <w:rFonts w:hint="eastAsia"/>
                <w:b/>
                <w:bCs/>
                <w:sz w:val="32"/>
                <w:szCs w:val="32"/>
              </w:rPr>
              <w:t xml:space="preserve">           单位公章：</w:t>
            </w:r>
            <w:r>
              <w:rPr>
                <w:rFonts w:hint="eastAsia"/>
                <w:b/>
                <w:bCs/>
                <w:sz w:val="32"/>
                <w:szCs w:val="32"/>
                <w:lang w:eastAsia="zh-CN"/>
              </w:rPr>
              <w:t>奉新县交通运输局</w:t>
            </w:r>
          </w:p>
        </w:tc>
      </w:tr>
      <w:tr>
        <w:tblPrEx>
          <w:tblLayout w:type="fixed"/>
          <w:tblCellMar>
            <w:top w:w="0" w:type="dxa"/>
            <w:left w:w="108" w:type="dxa"/>
            <w:bottom w:w="0" w:type="dxa"/>
            <w:right w:w="108" w:type="dxa"/>
          </w:tblCellMar>
        </w:tblPrEx>
        <w:trPr>
          <w:trHeight w:val="380" w:hRule="atLeast"/>
        </w:trPr>
        <w:tc>
          <w:tcPr>
            <w:tcW w:w="8537" w:type="dxa"/>
            <w:vAlign w:val="center"/>
          </w:tcPr>
          <w:p>
            <w:pPr>
              <w:pStyle w:val="8"/>
              <w:rPr>
                <w:rFonts w:hint="eastAsia" w:eastAsiaTheme="minorEastAsia"/>
                <w:b/>
                <w:bCs/>
                <w:sz w:val="32"/>
                <w:szCs w:val="32"/>
                <w:lang w:val="en-US" w:eastAsia="zh-CN"/>
              </w:rPr>
            </w:pPr>
            <w:r>
              <w:rPr>
                <w:rFonts w:hint="eastAsia"/>
                <w:b/>
                <w:bCs/>
                <w:sz w:val="32"/>
                <w:szCs w:val="32"/>
              </w:rPr>
              <w:t xml:space="preserve">           报送日期：</w:t>
            </w:r>
            <w:r>
              <w:rPr>
                <w:rFonts w:hint="eastAsia"/>
                <w:b/>
                <w:bCs/>
                <w:sz w:val="32"/>
                <w:szCs w:val="32"/>
                <w:lang w:val="en-US" w:eastAsia="zh-CN"/>
              </w:rPr>
              <w:t>2018年9月10日</w:t>
            </w:r>
          </w:p>
        </w:tc>
      </w:tr>
    </w:tbl>
    <w:p>
      <w:pPr>
        <w:rPr>
          <w:sz w:val="32"/>
          <w:szCs w:val="32"/>
        </w:rPr>
      </w:pPr>
    </w:p>
    <w:p/>
    <w:p/>
    <w:tbl>
      <w:tblPr>
        <w:tblStyle w:val="7"/>
        <w:tblpPr w:leftFromText="187" w:rightFromText="187" w:vertAnchor="page" w:horzAnchor="margin" w:tblpY="12961"/>
        <w:tblW w:w="8522" w:type="dxa"/>
        <w:tblInd w:w="0" w:type="dxa"/>
        <w:tblLayout w:type="fixed"/>
        <w:tblCellMar>
          <w:top w:w="0" w:type="dxa"/>
          <w:left w:w="108" w:type="dxa"/>
          <w:bottom w:w="0" w:type="dxa"/>
          <w:right w:w="108" w:type="dxa"/>
        </w:tblCellMar>
      </w:tblPr>
      <w:tblGrid>
        <w:gridCol w:w="8522"/>
      </w:tblGrid>
      <w:tr>
        <w:tblPrEx>
          <w:tblLayout w:type="fixed"/>
          <w:tblCellMar>
            <w:top w:w="0" w:type="dxa"/>
            <w:left w:w="108" w:type="dxa"/>
            <w:bottom w:w="0" w:type="dxa"/>
            <w:right w:w="108" w:type="dxa"/>
          </w:tblCellMar>
        </w:tblPrEx>
        <w:trPr>
          <w:trHeight w:val="80" w:hRule="atLeast"/>
        </w:trPr>
        <w:tc>
          <w:tcPr>
            <w:tcW w:w="8522" w:type="dxa"/>
            <w:vAlign w:val="top"/>
          </w:tcPr>
          <w:p>
            <w:pPr>
              <w:pStyle w:val="8"/>
              <w:rPr>
                <w:rFonts w:hint="eastAsia" w:ascii="宋体" w:hAnsi="宋体"/>
                <w:b/>
                <w:sz w:val="32"/>
                <w:szCs w:val="32"/>
              </w:rPr>
            </w:pPr>
            <w:r>
              <w:rPr>
                <w:rFonts w:hint="eastAsia" w:ascii="宋体" w:hAnsi="宋体"/>
                <w:b/>
                <w:sz w:val="32"/>
                <w:szCs w:val="32"/>
              </w:rPr>
              <w:t>单位负责人（签章）：</w:t>
            </w:r>
            <w:r>
              <w:rPr>
                <w:rFonts w:hint="eastAsia" w:ascii="宋体" w:hAnsi="宋体"/>
                <w:b/>
                <w:sz w:val="32"/>
                <w:szCs w:val="32"/>
                <w:lang w:eastAsia="zh-CN"/>
              </w:rPr>
              <w:t>陈辉</w:t>
            </w:r>
            <w:r>
              <w:rPr>
                <w:rFonts w:hint="eastAsia" w:ascii="宋体" w:hAnsi="宋体"/>
                <w:b/>
                <w:sz w:val="32"/>
                <w:szCs w:val="32"/>
              </w:rPr>
              <w:t xml:space="preserve">    </w:t>
            </w:r>
          </w:p>
          <w:p>
            <w:pPr>
              <w:pStyle w:val="8"/>
              <w:rPr>
                <w:rFonts w:hint="eastAsia" w:ascii="宋体" w:hAnsi="宋体"/>
                <w:b/>
                <w:sz w:val="32"/>
                <w:szCs w:val="32"/>
              </w:rPr>
            </w:pPr>
            <w:r>
              <w:rPr>
                <w:rFonts w:hint="eastAsia" w:ascii="宋体" w:hAnsi="宋体"/>
                <w:b/>
                <w:sz w:val="32"/>
                <w:szCs w:val="32"/>
              </w:rPr>
              <w:t xml:space="preserve"> </w:t>
            </w:r>
          </w:p>
          <w:p>
            <w:pPr>
              <w:pStyle w:val="8"/>
              <w:rPr>
                <w:rFonts w:hint="eastAsia" w:eastAsiaTheme="minorEastAsia"/>
                <w:sz w:val="32"/>
                <w:szCs w:val="32"/>
                <w:lang w:eastAsia="zh-CN"/>
              </w:rPr>
            </w:pPr>
            <w:r>
              <w:rPr>
                <w:rFonts w:hint="eastAsia" w:ascii="宋体" w:hAnsi="宋体"/>
                <w:b/>
                <w:sz w:val="32"/>
                <w:szCs w:val="32"/>
              </w:rPr>
              <w:t>财务负责人（签章）：</w:t>
            </w:r>
            <w:r>
              <w:rPr>
                <w:rFonts w:hint="eastAsia" w:ascii="宋体" w:hAnsi="宋体"/>
                <w:b/>
                <w:sz w:val="32"/>
                <w:szCs w:val="32"/>
                <w:lang w:eastAsia="zh-CN"/>
              </w:rPr>
              <w:t>王大朴</w:t>
            </w:r>
            <w:r>
              <w:rPr>
                <w:rFonts w:hint="eastAsia" w:ascii="宋体" w:hAnsi="宋体"/>
                <w:b/>
                <w:sz w:val="32"/>
                <w:szCs w:val="32"/>
                <w:lang w:val="en-US" w:eastAsia="zh-CN"/>
              </w:rPr>
              <w:t xml:space="preserve">  </w:t>
            </w:r>
            <w:r>
              <w:rPr>
                <w:rFonts w:hint="eastAsia" w:ascii="宋体" w:hAnsi="宋体"/>
                <w:b/>
                <w:sz w:val="32"/>
                <w:szCs w:val="32"/>
              </w:rPr>
              <w:t>经办人（签章）：</w:t>
            </w:r>
            <w:r>
              <w:rPr>
                <w:rFonts w:hint="eastAsia" w:ascii="宋体" w:hAnsi="宋体"/>
                <w:b/>
                <w:sz w:val="32"/>
                <w:szCs w:val="32"/>
                <w:lang w:eastAsia="zh-CN"/>
              </w:rPr>
              <w:t>周振江</w:t>
            </w:r>
          </w:p>
        </w:tc>
      </w:tr>
    </w:tbl>
    <w:p>
      <w:pPr>
        <w:spacing w:line="600" w:lineRule="exact"/>
        <w:jc w:val="center"/>
        <w:rPr>
          <w:rFonts w:ascii="仿宋" w:hAnsi="仿宋" w:eastAsia="仿宋"/>
          <w:sz w:val="32"/>
          <w:szCs w:val="32"/>
        </w:rPr>
      </w:pPr>
      <w:r>
        <w:rPr>
          <w:rFonts w:ascii="仿宋" w:hAnsi="仿宋" w:eastAsia="仿宋"/>
          <w:sz w:val="32"/>
          <w:szCs w:val="32"/>
        </w:rPr>
        <w:br w:type="page"/>
      </w:r>
    </w:p>
    <w:p>
      <w:pPr>
        <w:spacing w:line="600" w:lineRule="exact"/>
        <w:jc w:val="center"/>
        <w:rPr>
          <w:rFonts w:hint="eastAsia" w:ascii="黑体" w:eastAsia="黑体"/>
          <w:sz w:val="44"/>
          <w:szCs w:val="36"/>
        </w:rPr>
      </w:pPr>
      <w:r>
        <w:rPr>
          <w:rFonts w:hint="eastAsia" w:ascii="黑体" w:hAnsi="黑体" w:eastAsia="黑体"/>
          <w:sz w:val="44"/>
          <w:szCs w:val="36"/>
          <w:lang w:eastAsia="zh-CN"/>
        </w:rPr>
        <w:t>奉新县交通运输局</w:t>
      </w:r>
      <w:r>
        <w:rPr>
          <w:rFonts w:hint="eastAsia" w:ascii="黑体" w:eastAsia="黑体"/>
          <w:sz w:val="44"/>
          <w:szCs w:val="36"/>
        </w:rPr>
        <w:t>2017年度部门决算</w:t>
      </w:r>
    </w:p>
    <w:p>
      <w:pPr>
        <w:spacing w:line="600" w:lineRule="exact"/>
        <w:jc w:val="center"/>
        <w:rPr>
          <w:rFonts w:hint="eastAsia" w:ascii="黑体" w:eastAsia="黑体"/>
          <w:sz w:val="44"/>
          <w:szCs w:val="36"/>
        </w:rPr>
      </w:pPr>
    </w:p>
    <w:p>
      <w:pPr>
        <w:spacing w:line="600" w:lineRule="exact"/>
        <w:jc w:val="center"/>
        <w:rPr>
          <w:rFonts w:hint="eastAsia" w:ascii="黑体" w:eastAsia="黑体"/>
          <w:sz w:val="40"/>
          <w:szCs w:val="36"/>
        </w:rPr>
      </w:pPr>
      <w:r>
        <w:rPr>
          <w:rFonts w:hint="eastAsia" w:ascii="黑体" w:eastAsia="黑体"/>
          <w:sz w:val="40"/>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黑体" w:hAnsi="黑体" w:eastAsia="黑体"/>
          <w:b/>
          <w:sz w:val="32"/>
          <w:szCs w:val="32"/>
        </w:rPr>
      </w:pPr>
      <w:r>
        <w:rPr>
          <w:rFonts w:hint="eastAsia" w:ascii="黑体" w:hAnsi="黑体" w:eastAsia="黑体"/>
          <w:b/>
          <w:sz w:val="32"/>
          <w:szCs w:val="32"/>
        </w:rPr>
        <w:t xml:space="preserve">第一部分  </w:t>
      </w:r>
      <w:r>
        <w:rPr>
          <w:rFonts w:hint="eastAsia" w:ascii="黑体" w:hAnsi="黑体" w:eastAsia="黑体"/>
          <w:sz w:val="32"/>
          <w:szCs w:val="32"/>
          <w:lang w:eastAsia="zh-CN"/>
        </w:rPr>
        <w:t>奉新县交通运输局</w:t>
      </w:r>
      <w:r>
        <w:rPr>
          <w:rFonts w:hint="eastAsia" w:ascii="黑体" w:hAnsi="黑体" w:eastAsia="黑体"/>
          <w:b/>
          <w:sz w:val="32"/>
          <w:szCs w:val="32"/>
        </w:rPr>
        <w:t>概况</w:t>
      </w:r>
    </w:p>
    <w:p>
      <w:pPr>
        <w:widowControl/>
        <w:spacing w:line="600" w:lineRule="exact"/>
        <w:ind w:firstLine="640"/>
        <w:jc w:val="left"/>
        <w:rPr>
          <w:rFonts w:hint="eastAsia" w:ascii="仿宋_GB2312" w:hAnsi="仿宋_GB2312" w:eastAsia="仿宋_GB2312" w:cs="仿宋_GB2312"/>
          <w:b w:val="0"/>
          <w:bCs w:val="0"/>
          <w:sz w:val="32"/>
          <w:szCs w:val="30"/>
        </w:rPr>
      </w:pPr>
      <w:r>
        <w:rPr>
          <w:rFonts w:hint="eastAsia" w:ascii="仿宋_GB2312" w:eastAsia="仿宋_GB2312"/>
          <w:b/>
          <w:sz w:val="32"/>
          <w:szCs w:val="30"/>
        </w:rPr>
        <w:t xml:space="preserve">   </w:t>
      </w:r>
      <w:r>
        <w:rPr>
          <w:rFonts w:hint="eastAsia" w:ascii="仿宋_GB2312" w:hAnsi="仿宋_GB2312" w:eastAsia="仿宋_GB2312" w:cs="仿宋_GB2312"/>
          <w:b/>
          <w:sz w:val="32"/>
          <w:szCs w:val="30"/>
        </w:rPr>
        <w:t xml:space="preserve"> </w:t>
      </w:r>
      <w:r>
        <w:rPr>
          <w:rFonts w:hint="eastAsia" w:ascii="仿宋_GB2312" w:hAnsi="仿宋_GB2312" w:eastAsia="仿宋_GB2312" w:cs="仿宋_GB2312"/>
          <w:b w:val="0"/>
          <w:bCs w:val="0"/>
          <w:sz w:val="32"/>
          <w:szCs w:val="30"/>
        </w:rPr>
        <w:t>一、部门主要职责</w:t>
      </w:r>
    </w:p>
    <w:p>
      <w:pPr>
        <w:widowControl/>
        <w:spacing w:line="600" w:lineRule="exact"/>
        <w:ind w:firstLine="640"/>
        <w:jc w:val="left"/>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xml:space="preserve">    二、部门基本情况</w:t>
      </w:r>
    </w:p>
    <w:p>
      <w:pPr>
        <w:widowControl/>
        <w:spacing w:line="600" w:lineRule="exact"/>
        <w:ind w:firstLine="640"/>
        <w:jc w:val="left"/>
        <w:rPr>
          <w:rFonts w:hint="eastAsia" w:ascii="黑体" w:hAnsi="黑体" w:eastAsia="黑体"/>
          <w:sz w:val="32"/>
          <w:szCs w:val="32"/>
        </w:rPr>
      </w:pPr>
      <w:r>
        <w:rPr>
          <w:rFonts w:hint="eastAsia" w:ascii="黑体" w:hAnsi="黑体" w:eastAsia="黑体"/>
          <w:sz w:val="32"/>
          <w:szCs w:val="32"/>
        </w:rPr>
        <w:t xml:space="preserve">第二部分  </w:t>
      </w:r>
      <w:r>
        <w:rPr>
          <w:rFonts w:hint="eastAsia" w:ascii="黑体" w:hAnsi="黑体" w:eastAsia="黑体"/>
          <w:sz w:val="32"/>
          <w:szCs w:val="32"/>
          <w:lang w:eastAsia="zh-CN"/>
        </w:rPr>
        <w:t>奉新县交通运输局</w:t>
      </w:r>
      <w:r>
        <w:rPr>
          <w:rFonts w:hint="eastAsia" w:ascii="黑体" w:hAnsi="黑体" w:eastAsia="黑体"/>
          <w:sz w:val="32"/>
          <w:szCs w:val="32"/>
        </w:rPr>
        <w:t>2017年度决算表</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一、收入支出决算总表</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二、收入决算表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三、支出决算表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四、财政拨款收入支出决算总表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五、一般公共预算财政拨款支出决算表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六、一般公共预算财政拨款基本支出决算表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七、一般公共预算财政拨款“三公”经费支出决算</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八、政府性基金预算财政拨款收入支出决算表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九、国有资产占用情况表</w:t>
      </w:r>
    </w:p>
    <w:p>
      <w:pPr>
        <w:widowControl/>
        <w:spacing w:line="600" w:lineRule="exact"/>
        <w:jc w:val="left"/>
        <w:rPr>
          <w:rFonts w:hint="eastAsia" w:ascii="黑体" w:hAnsi="黑体" w:eastAsia="黑体"/>
          <w:sz w:val="32"/>
          <w:szCs w:val="32"/>
        </w:rPr>
      </w:pPr>
      <w:r>
        <w:rPr>
          <w:rFonts w:hint="eastAsia" w:ascii="仿宋" w:hAnsi="仿宋" w:eastAsia="仿宋" w:cs="宋体"/>
          <w:kern w:val="0"/>
          <w:sz w:val="32"/>
          <w:szCs w:val="32"/>
        </w:rPr>
        <w:t xml:space="preserve">    </w:t>
      </w:r>
      <w:r>
        <w:rPr>
          <w:rFonts w:hint="eastAsia" w:ascii="黑体" w:hAnsi="黑体" w:eastAsia="黑体"/>
          <w:sz w:val="32"/>
          <w:szCs w:val="32"/>
        </w:rPr>
        <w:t xml:space="preserve">第三部分  </w:t>
      </w:r>
      <w:r>
        <w:rPr>
          <w:rFonts w:hint="eastAsia" w:ascii="黑体" w:hAnsi="黑体" w:eastAsia="黑体"/>
          <w:sz w:val="32"/>
          <w:szCs w:val="32"/>
          <w:lang w:eastAsia="zh-CN"/>
        </w:rPr>
        <w:t>奉新县交通运输局</w:t>
      </w:r>
      <w:r>
        <w:rPr>
          <w:rFonts w:hint="eastAsia" w:ascii="黑体" w:hAnsi="黑体" w:eastAsia="黑体"/>
          <w:sz w:val="32"/>
          <w:szCs w:val="32"/>
        </w:rPr>
        <w:t>2017年度决算情况说明</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一、收入决算情况说明</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二、支出决算情况说明</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三、财政拨款支出决算情况说明</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四、一般公共预算财政拨款基本支出决算情况说明</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五、一般公共预算财政拨款“三公”经费支出决算</w:t>
      </w:r>
    </w:p>
    <w:p>
      <w:pPr>
        <w:widowControl/>
        <w:spacing w:line="600" w:lineRule="exact"/>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 xml:space="preserve">    情况说明</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六、机关运行经费支出情况说明</w:t>
      </w:r>
    </w:p>
    <w:p>
      <w:pPr>
        <w:widowControl/>
        <w:spacing w:line="600" w:lineRule="exact"/>
        <w:ind w:firstLine="64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 xml:space="preserve">    七、政府采购支出情况说明</w:t>
      </w:r>
    </w:p>
    <w:p>
      <w:pPr>
        <w:widowControl/>
        <w:spacing w:line="600" w:lineRule="exact"/>
        <w:ind w:firstLine="64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 xml:space="preserve">    八、预算绩效情况说明</w:t>
      </w:r>
    </w:p>
    <w:p>
      <w:pPr>
        <w:widowControl/>
        <w:spacing w:line="600" w:lineRule="exact"/>
        <w:ind w:firstLine="640"/>
        <w:jc w:val="left"/>
        <w:rPr>
          <w:rFonts w:ascii="仿宋" w:hAnsi="仿宋" w:eastAsia="仿宋"/>
          <w:sz w:val="32"/>
          <w:szCs w:val="30"/>
        </w:rPr>
      </w:pPr>
      <w:r>
        <w:rPr>
          <w:rFonts w:hint="eastAsia" w:ascii="黑体" w:hAnsi="黑体" w:eastAsia="黑体"/>
          <w:sz w:val="32"/>
          <w:szCs w:val="32"/>
        </w:rPr>
        <w:t>第四部分  名词解释</w:t>
      </w: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widowControl/>
        <w:spacing w:line="580" w:lineRule="exact"/>
        <w:jc w:val="center"/>
        <w:rPr>
          <w:rFonts w:hint="eastAsia" w:ascii="宋体" w:hAnsi="宋体"/>
          <w:b/>
          <w:sz w:val="32"/>
          <w:szCs w:val="30"/>
        </w:rPr>
      </w:pPr>
      <w:r>
        <w:rPr>
          <w:rFonts w:hint="eastAsia" w:ascii="宋体" w:hAnsi="宋体"/>
          <w:b/>
          <w:sz w:val="32"/>
          <w:szCs w:val="30"/>
        </w:rPr>
        <w:t xml:space="preserve">第一部分  </w:t>
      </w:r>
      <w:r>
        <w:rPr>
          <w:rFonts w:hint="eastAsia" w:ascii="宋体" w:hAnsi="宋体"/>
          <w:b/>
          <w:sz w:val="32"/>
          <w:szCs w:val="30"/>
          <w:lang w:eastAsia="zh-CN"/>
        </w:rPr>
        <w:t>奉新县</w:t>
      </w:r>
      <w:r>
        <w:rPr>
          <w:rFonts w:hint="eastAsia" w:ascii="宋体" w:hAnsi="宋体"/>
          <w:b/>
          <w:sz w:val="32"/>
          <w:szCs w:val="32"/>
          <w:lang w:eastAsia="zh-CN"/>
        </w:rPr>
        <w:t>交通运输局</w:t>
      </w:r>
      <w:r>
        <w:rPr>
          <w:rFonts w:hint="eastAsia" w:ascii="宋体" w:hAnsi="宋体"/>
          <w:b/>
          <w:sz w:val="32"/>
          <w:szCs w:val="30"/>
        </w:rPr>
        <w:t>概况</w:t>
      </w:r>
    </w:p>
    <w:p>
      <w:pPr>
        <w:widowControl/>
        <w:spacing w:line="580" w:lineRule="exact"/>
        <w:jc w:val="center"/>
        <w:rPr>
          <w:rFonts w:hint="eastAsia" w:ascii="宋体" w:hAnsi="宋体"/>
          <w:b/>
          <w:sz w:val="32"/>
          <w:szCs w:val="30"/>
        </w:rPr>
      </w:pPr>
    </w:p>
    <w:p>
      <w:pPr>
        <w:ind w:firstLine="630"/>
        <w:jc w:val="left"/>
        <w:rPr>
          <w:rFonts w:hint="eastAsia" w:ascii="仿宋_GB2312" w:hAnsi="仿宋_GB2312" w:eastAsia="仿宋_GB2312" w:cs="仿宋_GB2312"/>
          <w:b/>
          <w:sz w:val="32"/>
          <w:szCs w:val="32"/>
        </w:rPr>
      </w:pPr>
      <w:r>
        <w:rPr>
          <w:rFonts w:hint="eastAsia" w:ascii="黑体" w:hAnsi="黑体" w:eastAsia="黑体"/>
          <w:sz w:val="30"/>
          <w:szCs w:val="30"/>
        </w:rPr>
        <w:t>一、部门主要职能</w:t>
      </w:r>
    </w:p>
    <w:p>
      <w:pPr>
        <w:ind w:firstLine="720" w:firstLineChars="225"/>
        <w:rPr>
          <w:rFonts w:hint="eastAsia" w:ascii="仿宋" w:hAnsi="仿宋" w:eastAsia="仿宋"/>
          <w:sz w:val="30"/>
          <w:szCs w:val="30"/>
        </w:rPr>
      </w:pPr>
      <w:r>
        <w:rPr>
          <w:rFonts w:hint="eastAsia" w:ascii="仿宋_GB2312" w:hAnsi="仿宋_GB2312" w:eastAsia="仿宋_GB2312"/>
          <w:sz w:val="32"/>
          <w:szCs w:val="32"/>
          <w:lang w:eastAsia="zh-CN"/>
        </w:rPr>
        <w:t>奉新</w:t>
      </w:r>
      <w:r>
        <w:rPr>
          <w:rFonts w:hint="eastAsia" w:ascii="仿宋_GB2312" w:hAnsi="仿宋_GB2312" w:eastAsia="仿宋_GB2312"/>
          <w:sz w:val="32"/>
          <w:szCs w:val="32"/>
        </w:rPr>
        <w:t xml:space="preserve">县交通运输局是县政府组成部门。主要职责是：                       </w:t>
      </w:r>
      <w:r>
        <w:rPr>
          <w:rFonts w:ascii="仿宋_GB2312" w:hAnsi="仿宋_GB2312" w:eastAsia="仿宋_GB2312" w:cs="Arial"/>
          <w:color w:val="010000"/>
          <w:kern w:val="0"/>
          <w:sz w:val="32"/>
        </w:rPr>
        <w:t>贯彻执行国家、省有关交通运输的法律、法规、规章和政策，拟订有关具体政策。根据全县经济社会发展规划，拟订公路、水路等行业发展规划并组织实施。指导公路、水路行业有关体制改革工作</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承担公路、水路运输体系的规划协调工作，在全县经济社会发展总体规划的框架内，组织编制公路、水路运输体系规划，指导公路、水路运输枢纽管理</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负责全县县乡村公路（含桥梁）、水路基础设施建设项目的申报和计划下达，勘察、设计、施工指导，工程质量监督、验收，以及财政性专项资金安排意见，负责所辖县道公路的养护和有关县乡村公路的路政管理，指导全县乡村公路的养护工作，保护路产路权</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承担道路、水路运输市场监管责任。监督道路、水路运输有关政策、准入制度、技术标准和运营规范的实施。负责城市公共交通设施规划和管理工作，指导公路旅客运输、货物（含危险品）运输、出租汽车、汽车维修、车辆综合性能检测、搬运装卸、驾驶员培训市场及水路运输市场行业管理</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承担公路、水路建设市场监管责任。监督公路、水路工程建设相关政策、制度和技术标准的实施，协调公路、水路重点工程建设。按规定负责港口规划和岸线使用作</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负责渡口、公路运输企业、水路运输企业、城市公共交通企业、交通工程建设的安全生产监管和应急管理工作。按规定组织协调重点物资运输和紧急客货运输。承担国防交通动员保障等工作</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指导交通行业精神文明建设和干部职工队伍建设。组织拟订公路、水路行业科技、教育政策并监督实施，组织协调有关重点科技项目研究</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开展相关统计工作，公布有关信息。指导交通运输行业环境保护、节能减排、信息化建设工作</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负责全县交通战备工作，落实交通战备保障措施和军事交通各项任务的组织实施</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负责县政府有关交通方面的涉外工作。承办县人民政府交办的其他事项。</w:t>
      </w:r>
    </w:p>
    <w:p>
      <w:pPr>
        <w:ind w:firstLine="630"/>
        <w:jc w:val="left"/>
        <w:rPr>
          <w:rFonts w:hint="eastAsia" w:ascii="黑体" w:hAnsi="黑体" w:eastAsia="黑体"/>
          <w:sz w:val="30"/>
          <w:szCs w:val="30"/>
        </w:rPr>
      </w:pPr>
      <w:r>
        <w:rPr>
          <w:rFonts w:hint="eastAsia" w:ascii="黑体" w:hAnsi="黑体" w:eastAsia="黑体"/>
          <w:sz w:val="30"/>
          <w:szCs w:val="30"/>
        </w:rPr>
        <w:t>二、部门基本情况</w:t>
      </w:r>
    </w:p>
    <w:p>
      <w:pPr>
        <w:ind w:firstLine="63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纳入本套部门决算汇编范围的单位共  </w:t>
      </w: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 xml:space="preserve"> 个，包括：</w:t>
      </w:r>
      <w:r>
        <w:rPr>
          <w:rFonts w:hint="eastAsia" w:ascii="仿宋_GB2312" w:hAnsi="仿宋_GB2312" w:eastAsia="仿宋_GB2312" w:cs="仿宋_GB2312"/>
          <w:sz w:val="30"/>
          <w:szCs w:val="30"/>
          <w:lang w:eastAsia="zh-CN"/>
        </w:rPr>
        <w:t>奉新县交通运输局</w:t>
      </w:r>
      <w:r>
        <w:rPr>
          <w:rFonts w:hint="eastAsia" w:ascii="仿宋_GB2312" w:hAnsi="仿宋_GB2312" w:eastAsia="仿宋_GB2312" w:cs="仿宋_GB2312"/>
          <w:sz w:val="30"/>
          <w:szCs w:val="30"/>
        </w:rPr>
        <w:t>。</w:t>
      </w:r>
    </w:p>
    <w:p>
      <w:pPr>
        <w:ind w:firstLine="63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本部门2017年年末编制人数 </w:t>
      </w:r>
      <w:r>
        <w:rPr>
          <w:rFonts w:hint="eastAsia" w:ascii="仿宋_GB2312" w:hAnsi="仿宋_GB2312" w:eastAsia="仿宋_GB2312" w:cs="仿宋_GB2312"/>
          <w:sz w:val="30"/>
          <w:szCs w:val="30"/>
          <w:lang w:val="en-US" w:eastAsia="zh-CN"/>
        </w:rPr>
        <w:t>51</w:t>
      </w:r>
      <w:r>
        <w:rPr>
          <w:rFonts w:hint="eastAsia" w:ascii="仿宋_GB2312" w:hAnsi="仿宋_GB2312" w:eastAsia="仿宋_GB2312" w:cs="仿宋_GB2312"/>
          <w:sz w:val="30"/>
          <w:szCs w:val="30"/>
        </w:rPr>
        <w:t xml:space="preserve">  人，其中行政编制 </w:t>
      </w:r>
      <w:r>
        <w:rPr>
          <w:rFonts w:hint="eastAsia" w:ascii="仿宋_GB2312" w:hAnsi="仿宋_GB2312" w:eastAsia="仿宋_GB2312" w:cs="仿宋_GB2312"/>
          <w:sz w:val="30"/>
          <w:szCs w:val="30"/>
          <w:lang w:val="en-US" w:eastAsia="zh-CN"/>
        </w:rPr>
        <w:t>8</w:t>
      </w:r>
      <w:r>
        <w:rPr>
          <w:rFonts w:hint="eastAsia" w:ascii="仿宋_GB2312" w:hAnsi="仿宋_GB2312" w:eastAsia="仿宋_GB2312" w:cs="仿宋_GB2312"/>
          <w:sz w:val="30"/>
          <w:szCs w:val="30"/>
        </w:rPr>
        <w:t xml:space="preserve"> 人，事业编制 </w:t>
      </w:r>
      <w:r>
        <w:rPr>
          <w:rFonts w:hint="eastAsia" w:ascii="仿宋_GB2312" w:hAnsi="仿宋_GB2312" w:eastAsia="仿宋_GB2312" w:cs="仿宋_GB2312"/>
          <w:sz w:val="30"/>
          <w:szCs w:val="30"/>
          <w:lang w:val="en-US" w:eastAsia="zh-CN"/>
        </w:rPr>
        <w:t>43</w:t>
      </w:r>
      <w:r>
        <w:rPr>
          <w:rFonts w:hint="eastAsia" w:ascii="仿宋_GB2312" w:hAnsi="仿宋_GB2312" w:eastAsia="仿宋_GB2312" w:cs="仿宋_GB2312"/>
          <w:sz w:val="30"/>
          <w:szCs w:val="30"/>
        </w:rPr>
        <w:t xml:space="preserve">  人；年末实有人数 </w:t>
      </w:r>
      <w:r>
        <w:rPr>
          <w:rFonts w:hint="eastAsia" w:ascii="仿宋_GB2312" w:hAnsi="仿宋_GB2312" w:eastAsia="仿宋_GB2312" w:cs="仿宋_GB2312"/>
          <w:sz w:val="30"/>
          <w:szCs w:val="30"/>
          <w:lang w:val="en-US" w:eastAsia="zh-CN"/>
        </w:rPr>
        <w:t>77</w:t>
      </w:r>
      <w:r>
        <w:rPr>
          <w:rFonts w:hint="eastAsia" w:ascii="仿宋_GB2312" w:hAnsi="仿宋_GB2312" w:eastAsia="仿宋_GB2312" w:cs="仿宋_GB2312"/>
          <w:sz w:val="30"/>
          <w:szCs w:val="30"/>
        </w:rPr>
        <w:t xml:space="preserve">  人，其中在职人员  </w:t>
      </w:r>
      <w:r>
        <w:rPr>
          <w:rFonts w:hint="eastAsia" w:ascii="仿宋_GB2312" w:hAnsi="仿宋_GB2312" w:eastAsia="仿宋_GB2312" w:cs="仿宋_GB2312"/>
          <w:sz w:val="30"/>
          <w:szCs w:val="30"/>
          <w:lang w:val="en-US" w:eastAsia="zh-CN"/>
        </w:rPr>
        <w:t>76</w:t>
      </w:r>
      <w:r>
        <w:rPr>
          <w:rFonts w:hint="eastAsia" w:ascii="仿宋_GB2312" w:hAnsi="仿宋_GB2312" w:eastAsia="仿宋_GB2312" w:cs="仿宋_GB2312"/>
          <w:sz w:val="30"/>
          <w:szCs w:val="30"/>
        </w:rPr>
        <w:t xml:space="preserve">人，离休人员  </w:t>
      </w: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人。</w:t>
      </w:r>
    </w:p>
    <w:p>
      <w:pPr>
        <w:ind w:firstLine="630"/>
        <w:jc w:val="left"/>
        <w:rPr>
          <w:rFonts w:hint="eastAsia" w:ascii="仿宋" w:hAnsi="仿宋" w:eastAsia="仿宋"/>
          <w:sz w:val="30"/>
          <w:szCs w:val="30"/>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r>
        <w:rPr>
          <w:rFonts w:hint="eastAsia" w:ascii="宋体" w:hAnsi="宋体"/>
          <w:b/>
          <w:sz w:val="32"/>
          <w:szCs w:val="32"/>
        </w:rPr>
        <w:t>第二部分  2017年度部门决算表</w:t>
      </w: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rPr>
          <w:rFonts w:hint="eastAsia"/>
          <w:szCs w:val="30"/>
        </w:rPr>
      </w:pPr>
      <w:r>
        <w:drawing>
          <wp:inline distT="0" distB="0" distL="114300" distR="114300">
            <wp:extent cx="6048375" cy="5853430"/>
            <wp:effectExtent l="0" t="0" r="9525" b="1397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6"/>
                    <a:stretch>
                      <a:fillRect/>
                    </a:stretch>
                  </pic:blipFill>
                  <pic:spPr>
                    <a:xfrm>
                      <a:off x="0" y="0"/>
                      <a:ext cx="6048375" cy="5853430"/>
                    </a:xfrm>
                    <a:prstGeom prst="rect">
                      <a:avLst/>
                    </a:prstGeom>
                    <a:noFill/>
                    <a:ln w="9525">
                      <a:noFill/>
                    </a:ln>
                  </pic:spPr>
                </pic:pic>
              </a:graphicData>
            </a:graphic>
          </wp:inline>
        </w:drawing>
      </w:r>
    </w:p>
    <w:p>
      <w:pPr>
        <w:autoSpaceDE w:val="0"/>
        <w:autoSpaceDN w:val="0"/>
        <w:adjustRightInd w:val="0"/>
        <w:spacing w:line="360" w:lineRule="auto"/>
        <w:jc w:val="left"/>
        <w:rPr>
          <w:rFonts w:hint="eastAsia" w:ascii="仿宋" w:hAnsi="仿宋" w:eastAsia="仿宋" w:cs="仿宋_GB2312"/>
          <w:kern w:val="0"/>
          <w:sz w:val="30"/>
          <w:szCs w:val="30"/>
        </w:rPr>
      </w:pPr>
    </w:p>
    <w:p>
      <w:pPr>
        <w:autoSpaceDE w:val="0"/>
        <w:autoSpaceDN w:val="0"/>
        <w:adjustRightInd w:val="0"/>
        <w:spacing w:line="360" w:lineRule="auto"/>
        <w:jc w:val="left"/>
        <w:rPr>
          <w:rFonts w:hint="eastAsia" w:ascii="仿宋" w:hAnsi="仿宋" w:eastAsia="仿宋" w:cs="仿宋_GB2312"/>
          <w:kern w:val="0"/>
          <w:sz w:val="30"/>
          <w:szCs w:val="30"/>
        </w:rPr>
      </w:pPr>
      <w:r>
        <w:rPr>
          <w:rFonts w:hint="eastAsia" w:ascii="仿宋" w:hAnsi="仿宋" w:eastAsia="仿宋" w:cs="仿宋_GB2312"/>
          <w:kern w:val="0"/>
          <w:sz w:val="30"/>
          <w:szCs w:val="30"/>
        </w:rPr>
        <w:t xml:space="preserve"> </w:t>
      </w:r>
    </w:p>
    <w:p>
      <w:pPr>
        <w:autoSpaceDE w:val="0"/>
        <w:autoSpaceDN w:val="0"/>
        <w:adjustRightInd w:val="0"/>
        <w:spacing w:line="360" w:lineRule="auto"/>
        <w:jc w:val="left"/>
        <w:rPr>
          <w:rFonts w:hint="eastAsia" w:ascii="仿宋" w:hAnsi="仿宋" w:eastAsia="仿宋" w:cs="仿宋_GB2312"/>
          <w:kern w:val="0"/>
          <w:sz w:val="30"/>
          <w:szCs w:val="30"/>
        </w:rPr>
      </w:pPr>
      <w:r>
        <w:drawing>
          <wp:inline distT="0" distB="0" distL="114300" distR="114300">
            <wp:extent cx="6132830" cy="7838440"/>
            <wp:effectExtent l="0" t="0" r="1270" b="1016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7"/>
                    <a:stretch>
                      <a:fillRect/>
                    </a:stretch>
                  </pic:blipFill>
                  <pic:spPr>
                    <a:xfrm>
                      <a:off x="0" y="0"/>
                      <a:ext cx="6132830" cy="7838440"/>
                    </a:xfrm>
                    <a:prstGeom prst="rect">
                      <a:avLst/>
                    </a:prstGeom>
                    <a:noFill/>
                    <a:ln w="9525">
                      <a:noFill/>
                    </a:ln>
                  </pic:spPr>
                </pic:pic>
              </a:graphicData>
            </a:graphic>
          </wp:inline>
        </w:drawing>
      </w: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rPr>
          <w:rFonts w:hint="eastAsia"/>
          <w:szCs w:val="30"/>
        </w:rPr>
      </w:pPr>
      <w:r>
        <w:drawing>
          <wp:inline distT="0" distB="0" distL="114300" distR="114300">
            <wp:extent cx="6114415" cy="7854315"/>
            <wp:effectExtent l="0" t="0" r="635" b="13335"/>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8"/>
                    <a:stretch>
                      <a:fillRect/>
                    </a:stretch>
                  </pic:blipFill>
                  <pic:spPr>
                    <a:xfrm>
                      <a:off x="0" y="0"/>
                      <a:ext cx="6114415" cy="7854315"/>
                    </a:xfrm>
                    <a:prstGeom prst="rect">
                      <a:avLst/>
                    </a:prstGeom>
                    <a:noFill/>
                    <a:ln w="9525">
                      <a:noFill/>
                    </a:ln>
                  </pic:spPr>
                </pic:pic>
              </a:graphicData>
            </a:graphic>
          </wp:inline>
        </w:drawing>
      </w:r>
    </w:p>
    <w:p>
      <w:pPr>
        <w:autoSpaceDE w:val="0"/>
        <w:autoSpaceDN w:val="0"/>
        <w:adjustRightInd w:val="0"/>
        <w:spacing w:line="360" w:lineRule="auto"/>
        <w:jc w:val="left"/>
        <w:rPr>
          <w:rFonts w:hint="eastAsia" w:ascii="仿宋" w:hAnsi="仿宋" w:eastAsia="仿宋" w:cs="仿宋_GB2312"/>
          <w:kern w:val="0"/>
          <w:sz w:val="30"/>
          <w:szCs w:val="30"/>
        </w:rPr>
      </w:pPr>
    </w:p>
    <w:p>
      <w:pPr>
        <w:autoSpaceDE w:val="0"/>
        <w:autoSpaceDN w:val="0"/>
        <w:adjustRightInd w:val="0"/>
        <w:spacing w:line="360" w:lineRule="auto"/>
        <w:jc w:val="left"/>
        <w:rPr>
          <w:rFonts w:hint="eastAsia" w:ascii="仿宋" w:hAnsi="仿宋" w:eastAsia="仿宋" w:cs="仿宋_GB2312"/>
          <w:kern w:val="0"/>
          <w:sz w:val="30"/>
          <w:szCs w:val="30"/>
        </w:rPr>
      </w:pPr>
      <w:r>
        <w:drawing>
          <wp:inline distT="0" distB="0" distL="114300" distR="114300">
            <wp:extent cx="6122670" cy="6719570"/>
            <wp:effectExtent l="0" t="0" r="11430" b="5080"/>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9"/>
                    <a:stretch>
                      <a:fillRect/>
                    </a:stretch>
                  </pic:blipFill>
                  <pic:spPr>
                    <a:xfrm>
                      <a:off x="0" y="0"/>
                      <a:ext cx="6122670" cy="6719570"/>
                    </a:xfrm>
                    <a:prstGeom prst="rect">
                      <a:avLst/>
                    </a:prstGeom>
                    <a:noFill/>
                    <a:ln w="9525">
                      <a:noFill/>
                    </a:ln>
                  </pic:spPr>
                </pic:pic>
              </a:graphicData>
            </a:graphic>
          </wp:inline>
        </w:drawing>
      </w:r>
    </w:p>
    <w:p>
      <w:pPr>
        <w:autoSpaceDE w:val="0"/>
        <w:autoSpaceDN w:val="0"/>
        <w:adjustRightInd w:val="0"/>
        <w:spacing w:line="360" w:lineRule="auto"/>
        <w:jc w:val="left"/>
        <w:rPr>
          <w:rFonts w:hint="eastAsia"/>
          <w:szCs w:val="30"/>
        </w:rPr>
      </w:pPr>
      <w:r>
        <w:drawing>
          <wp:inline distT="0" distB="0" distL="114300" distR="114300">
            <wp:extent cx="6092190" cy="8255635"/>
            <wp:effectExtent l="0" t="0" r="3810" b="12065"/>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10"/>
                    <a:stretch>
                      <a:fillRect/>
                    </a:stretch>
                  </pic:blipFill>
                  <pic:spPr>
                    <a:xfrm>
                      <a:off x="0" y="0"/>
                      <a:ext cx="6092190" cy="8255635"/>
                    </a:xfrm>
                    <a:prstGeom prst="rect">
                      <a:avLst/>
                    </a:prstGeom>
                    <a:noFill/>
                    <a:ln w="9525">
                      <a:noFill/>
                    </a:ln>
                  </pic:spPr>
                </pic:pic>
              </a:graphicData>
            </a:graphic>
          </wp:inline>
        </w:drawing>
      </w: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rPr>
          <w:rFonts w:hint="eastAsia"/>
          <w:szCs w:val="30"/>
        </w:rPr>
      </w:pPr>
      <w:r>
        <w:drawing>
          <wp:inline distT="0" distB="0" distL="114300" distR="114300">
            <wp:extent cx="6143625" cy="7915275"/>
            <wp:effectExtent l="0" t="0" r="9525" b="9525"/>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r:embed="rId11"/>
                    <a:stretch>
                      <a:fillRect/>
                    </a:stretch>
                  </pic:blipFill>
                  <pic:spPr>
                    <a:xfrm>
                      <a:off x="0" y="0"/>
                      <a:ext cx="6143625" cy="7915275"/>
                    </a:xfrm>
                    <a:prstGeom prst="rect">
                      <a:avLst/>
                    </a:prstGeom>
                    <a:noFill/>
                    <a:ln w="9525">
                      <a:noFill/>
                    </a:ln>
                  </pic:spPr>
                </pic:pic>
              </a:graphicData>
            </a:graphic>
          </wp:inline>
        </w:drawing>
      </w: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rPr>
          <w:rFonts w:hint="eastAsia"/>
          <w:szCs w:val="30"/>
        </w:rPr>
      </w:pPr>
      <w:r>
        <w:drawing>
          <wp:inline distT="0" distB="0" distL="114300" distR="114300">
            <wp:extent cx="6043930" cy="5342255"/>
            <wp:effectExtent l="0" t="0" r="13970" b="10795"/>
            <wp:docPr id="1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
                    <pic:cNvPicPr>
                      <a:picLocks noChangeAspect="1"/>
                    </pic:cNvPicPr>
                  </pic:nvPicPr>
                  <pic:blipFill>
                    <a:blip r:embed="rId12"/>
                    <a:stretch>
                      <a:fillRect/>
                    </a:stretch>
                  </pic:blipFill>
                  <pic:spPr>
                    <a:xfrm>
                      <a:off x="0" y="0"/>
                      <a:ext cx="6043930" cy="5342255"/>
                    </a:xfrm>
                    <a:prstGeom prst="rect">
                      <a:avLst/>
                    </a:prstGeom>
                    <a:noFill/>
                    <a:ln w="9525">
                      <a:noFill/>
                    </a:ln>
                  </pic:spPr>
                </pic:pic>
              </a:graphicData>
            </a:graphic>
          </wp:inline>
        </w:drawing>
      </w:r>
    </w:p>
    <w:p>
      <w:pPr>
        <w:autoSpaceDE w:val="0"/>
        <w:autoSpaceDN w:val="0"/>
        <w:adjustRightInd w:val="0"/>
        <w:spacing w:line="360" w:lineRule="auto"/>
        <w:jc w:val="left"/>
        <w:rPr>
          <w:rFonts w:hint="eastAsia"/>
          <w:szCs w:val="30"/>
        </w:rPr>
      </w:pPr>
      <w:r>
        <w:drawing>
          <wp:inline distT="0" distB="0" distL="114300" distR="114300">
            <wp:extent cx="6074410" cy="2848610"/>
            <wp:effectExtent l="0" t="0" r="2540" b="8890"/>
            <wp:docPr id="1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pic:cNvPicPr>
                      <a:picLocks noChangeAspect="1"/>
                    </pic:cNvPicPr>
                  </pic:nvPicPr>
                  <pic:blipFill>
                    <a:blip r:embed="rId13"/>
                    <a:stretch>
                      <a:fillRect/>
                    </a:stretch>
                  </pic:blipFill>
                  <pic:spPr>
                    <a:xfrm>
                      <a:off x="0" y="0"/>
                      <a:ext cx="6074410" cy="2848610"/>
                    </a:xfrm>
                    <a:prstGeom prst="rect">
                      <a:avLst/>
                    </a:prstGeom>
                    <a:noFill/>
                    <a:ln w="9525">
                      <a:noFill/>
                    </a:ln>
                  </pic:spPr>
                </pic:pic>
              </a:graphicData>
            </a:graphic>
          </wp:inline>
        </w:drawing>
      </w: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rPr>
          <w:rFonts w:hint="eastAsia" w:ascii="仿宋" w:hAnsi="仿宋" w:eastAsia="仿宋" w:cs="仿宋_GB2312"/>
          <w:kern w:val="0"/>
          <w:sz w:val="30"/>
          <w:szCs w:val="30"/>
        </w:rPr>
      </w:pPr>
      <w:r>
        <w:drawing>
          <wp:inline distT="0" distB="0" distL="114300" distR="114300">
            <wp:extent cx="5980430" cy="3124200"/>
            <wp:effectExtent l="0" t="0" r="1270" b="0"/>
            <wp:docPr id="1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9"/>
                    <pic:cNvPicPr>
                      <a:picLocks noChangeAspect="1"/>
                    </pic:cNvPicPr>
                  </pic:nvPicPr>
                  <pic:blipFill>
                    <a:blip r:embed="rId14"/>
                    <a:stretch>
                      <a:fillRect/>
                    </a:stretch>
                  </pic:blipFill>
                  <pic:spPr>
                    <a:xfrm>
                      <a:off x="0" y="0"/>
                      <a:ext cx="5980430" cy="3124200"/>
                    </a:xfrm>
                    <a:prstGeom prst="rect">
                      <a:avLst/>
                    </a:prstGeom>
                    <a:noFill/>
                    <a:ln w="9525">
                      <a:noFill/>
                    </a:ln>
                  </pic:spPr>
                </pic:pic>
              </a:graphicData>
            </a:graphic>
          </wp:inline>
        </w:drawing>
      </w: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r>
        <w:rPr>
          <w:rFonts w:hint="eastAsia" w:ascii="宋体" w:hAnsi="宋体"/>
          <w:b/>
          <w:sz w:val="32"/>
          <w:szCs w:val="32"/>
        </w:rPr>
        <w:t>第三部分  2017年度部门决算情况说明</w:t>
      </w:r>
    </w:p>
    <w:p>
      <w:pPr>
        <w:ind w:firstLine="630"/>
        <w:jc w:val="left"/>
        <w:rPr>
          <w:rFonts w:hint="eastAsia" w:ascii="仿宋" w:hAnsi="仿宋" w:eastAsia="仿宋"/>
          <w:sz w:val="30"/>
          <w:szCs w:val="30"/>
        </w:rPr>
      </w:pPr>
    </w:p>
    <w:p>
      <w:pPr>
        <w:ind w:firstLine="630"/>
        <w:jc w:val="left"/>
        <w:rPr>
          <w:rFonts w:hint="eastAsia" w:ascii="黑体" w:hAnsi="黑体" w:eastAsia="黑体"/>
          <w:sz w:val="30"/>
          <w:szCs w:val="30"/>
        </w:rPr>
      </w:pPr>
      <w:r>
        <w:rPr>
          <w:rFonts w:hint="eastAsia" w:ascii="黑体" w:hAnsi="黑体" w:eastAsia="黑体"/>
          <w:sz w:val="30"/>
          <w:szCs w:val="30"/>
        </w:rPr>
        <w:t>一、收入决算情况说明</w:t>
      </w:r>
    </w:p>
    <w:p>
      <w:pPr>
        <w:ind w:firstLine="630"/>
        <w:jc w:val="left"/>
        <w:rPr>
          <w:rFonts w:hint="eastAsia" w:ascii="仿宋_GB2312" w:hAnsi="仿宋_GB2312" w:eastAsia="仿宋_GB2312" w:cs="仿宋_GB2312"/>
          <w:sz w:val="30"/>
          <w:szCs w:val="30"/>
        </w:rPr>
      </w:pPr>
      <w:r>
        <w:rPr>
          <w:rFonts w:hint="eastAsia" w:ascii="仿宋_GB2312" w:hAnsi="仿宋_GB2312" w:eastAsia="仿宋_GB2312" w:cs="仿宋_GB2312"/>
          <w:sz w:val="32"/>
          <w:szCs w:val="32"/>
        </w:rPr>
        <w:t>本部门2017年度收入总计</w:t>
      </w:r>
      <w:r>
        <w:rPr>
          <w:rFonts w:hint="eastAsia" w:ascii="仿宋_GB2312" w:hAnsi="仿宋_GB2312" w:eastAsia="仿宋_GB2312" w:cs="仿宋_GB2312"/>
          <w:sz w:val="32"/>
          <w:szCs w:val="32"/>
          <w:lang w:val="en-US" w:eastAsia="zh-CN"/>
        </w:rPr>
        <w:t>4987.1</w:t>
      </w:r>
      <w:r>
        <w:rPr>
          <w:rFonts w:hint="eastAsia" w:ascii="仿宋_GB2312" w:hAnsi="仿宋_GB2312" w:eastAsia="仿宋_GB2312" w:cs="仿宋_GB2312"/>
          <w:sz w:val="32"/>
          <w:szCs w:val="32"/>
        </w:rPr>
        <w:t xml:space="preserve">万元，其中年初结转和结余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万元，较2016年增加</w:t>
      </w:r>
      <w:r>
        <w:rPr>
          <w:rFonts w:hint="eastAsia" w:ascii="仿宋_GB2312" w:hAnsi="仿宋_GB2312" w:eastAsia="仿宋_GB2312" w:cs="仿宋_GB2312"/>
          <w:sz w:val="32"/>
          <w:szCs w:val="32"/>
          <w:lang w:val="en-US" w:eastAsia="zh-CN"/>
        </w:rPr>
        <w:t>3080.61</w:t>
      </w:r>
      <w:r>
        <w:rPr>
          <w:rFonts w:hint="eastAsia" w:ascii="仿宋_GB2312" w:hAnsi="仿宋_GB2312" w:eastAsia="仿宋_GB2312" w:cs="仿宋_GB2312"/>
          <w:sz w:val="32"/>
          <w:szCs w:val="32"/>
        </w:rPr>
        <w:t xml:space="preserve"> 万元，增长</w:t>
      </w:r>
      <w:r>
        <w:rPr>
          <w:rFonts w:hint="eastAsia" w:ascii="仿宋_GB2312" w:hAnsi="仿宋_GB2312" w:eastAsia="仿宋_GB2312" w:cs="仿宋_GB2312"/>
          <w:sz w:val="32"/>
          <w:szCs w:val="32"/>
          <w:lang w:val="en-US" w:eastAsia="zh-CN"/>
        </w:rPr>
        <w:t>161.6</w:t>
      </w:r>
      <w:r>
        <w:rPr>
          <w:rFonts w:hint="eastAsia" w:ascii="仿宋_GB2312" w:hAnsi="仿宋_GB2312" w:eastAsia="仿宋_GB2312" w:cs="仿宋_GB2312"/>
          <w:sz w:val="32"/>
          <w:szCs w:val="32"/>
        </w:rPr>
        <w:t xml:space="preserve">  %；本年收入合计  </w:t>
      </w:r>
      <w:r>
        <w:rPr>
          <w:rFonts w:hint="eastAsia" w:ascii="仿宋_GB2312" w:hAnsi="仿宋_GB2312" w:eastAsia="仿宋_GB2312" w:cs="仿宋_GB2312"/>
          <w:sz w:val="32"/>
          <w:szCs w:val="32"/>
          <w:lang w:val="en-US" w:eastAsia="zh-CN"/>
        </w:rPr>
        <w:t>4987.1</w:t>
      </w:r>
      <w:r>
        <w:rPr>
          <w:rFonts w:hint="eastAsia" w:ascii="仿宋_GB2312" w:hAnsi="仿宋_GB2312" w:eastAsia="仿宋_GB2312" w:cs="仿宋_GB2312"/>
          <w:sz w:val="32"/>
          <w:szCs w:val="32"/>
        </w:rPr>
        <w:t>万元，较2016年增加</w:t>
      </w:r>
      <w:r>
        <w:rPr>
          <w:rFonts w:hint="eastAsia" w:ascii="仿宋_GB2312" w:hAnsi="仿宋_GB2312" w:eastAsia="仿宋_GB2312" w:cs="仿宋_GB2312"/>
          <w:sz w:val="32"/>
          <w:szCs w:val="32"/>
          <w:lang w:val="en-US" w:eastAsia="zh-CN"/>
        </w:rPr>
        <w:t>3080.61</w:t>
      </w:r>
      <w:r>
        <w:rPr>
          <w:rFonts w:hint="eastAsia" w:ascii="仿宋_GB2312" w:hAnsi="仿宋_GB2312" w:eastAsia="仿宋_GB2312" w:cs="仿宋_GB2312"/>
          <w:sz w:val="32"/>
          <w:szCs w:val="32"/>
        </w:rPr>
        <w:t xml:space="preserve">  万元，增长</w:t>
      </w:r>
      <w:r>
        <w:rPr>
          <w:rFonts w:hint="eastAsia" w:ascii="仿宋_GB2312" w:hAnsi="仿宋_GB2312" w:eastAsia="仿宋_GB2312" w:cs="仿宋_GB2312"/>
          <w:sz w:val="32"/>
          <w:szCs w:val="32"/>
          <w:lang w:val="en-US" w:eastAsia="zh-CN"/>
        </w:rPr>
        <w:t>161.6</w:t>
      </w:r>
      <w:r>
        <w:rPr>
          <w:rFonts w:hint="eastAsia" w:ascii="仿宋_GB2312" w:hAnsi="仿宋_GB2312" w:eastAsia="仿宋_GB2312" w:cs="仿宋_GB2312"/>
          <w:sz w:val="32"/>
          <w:szCs w:val="32"/>
        </w:rPr>
        <w:t xml:space="preserve">  %，主要原因是：</w:t>
      </w:r>
      <w:r>
        <w:rPr>
          <w:rFonts w:hint="eastAsia" w:ascii="仿宋_GB2312" w:hAnsi="仿宋_GB2312" w:eastAsia="仿宋_GB2312" w:cs="仿宋_GB2312"/>
          <w:sz w:val="32"/>
          <w:szCs w:val="32"/>
          <w:lang w:eastAsia="zh-CN"/>
        </w:rPr>
        <w:t>工程项目的增多</w:t>
      </w:r>
      <w:r>
        <w:rPr>
          <w:rFonts w:hint="eastAsia" w:ascii="仿宋_GB2312" w:hAnsi="仿宋_GB2312" w:eastAsia="仿宋_GB2312" w:cs="仿宋_GB2312"/>
          <w:sz w:val="32"/>
          <w:szCs w:val="32"/>
        </w:rPr>
        <w:t>。</w:t>
      </w:r>
    </w:p>
    <w:p>
      <w:pPr>
        <w:ind w:firstLine="630"/>
        <w:jc w:val="left"/>
        <w:rPr>
          <w:rFonts w:hint="eastAsia" w:ascii="仿宋" w:hAnsi="仿宋" w:eastAsia="仿宋"/>
          <w:sz w:val="30"/>
          <w:szCs w:val="30"/>
        </w:rPr>
      </w:pPr>
      <w:r>
        <w:rPr>
          <w:rFonts w:hint="eastAsia" w:ascii="仿宋_GB2312" w:hAnsi="仿宋_GB2312" w:eastAsia="仿宋_GB2312" w:cs="仿宋_GB2312"/>
          <w:sz w:val="32"/>
          <w:szCs w:val="32"/>
        </w:rPr>
        <w:t xml:space="preserve">本年收入的具体构成为：财政拨款收入 </w:t>
      </w:r>
      <w:r>
        <w:rPr>
          <w:rFonts w:hint="eastAsia" w:ascii="仿宋_GB2312" w:hAnsi="仿宋_GB2312" w:eastAsia="仿宋_GB2312" w:cs="仿宋_GB2312"/>
          <w:sz w:val="32"/>
          <w:szCs w:val="32"/>
          <w:lang w:val="en-US" w:eastAsia="zh-CN"/>
        </w:rPr>
        <w:t>4987.1</w:t>
      </w:r>
      <w:r>
        <w:rPr>
          <w:rFonts w:hint="eastAsia" w:ascii="仿宋_GB2312" w:hAnsi="仿宋_GB2312" w:eastAsia="仿宋_GB2312" w:cs="仿宋_GB2312"/>
          <w:sz w:val="32"/>
          <w:szCs w:val="32"/>
        </w:rPr>
        <w:t xml:space="preserve"> 万元，占</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 xml:space="preserve">  %；事业收入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%；经营收入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万元，占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%；其他收入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万元，占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w:t>
      </w:r>
      <w:r>
        <w:rPr>
          <w:rFonts w:hint="eastAsia" w:ascii="仿宋" w:hAnsi="仿宋" w:eastAsia="仿宋"/>
          <w:sz w:val="30"/>
          <w:szCs w:val="30"/>
        </w:rPr>
        <w:t xml:space="preserve">  </w:t>
      </w:r>
    </w:p>
    <w:p>
      <w:pPr>
        <w:ind w:firstLine="630"/>
        <w:jc w:val="left"/>
        <w:rPr>
          <w:rFonts w:hint="eastAsia" w:ascii="黑体" w:hAnsi="黑体" w:eastAsia="黑体"/>
          <w:sz w:val="30"/>
          <w:szCs w:val="30"/>
        </w:rPr>
      </w:pPr>
      <w:r>
        <w:rPr>
          <w:rFonts w:hint="eastAsia" w:ascii="黑体" w:hAnsi="黑体" w:eastAsia="黑体"/>
          <w:sz w:val="30"/>
          <w:szCs w:val="30"/>
        </w:rPr>
        <w:t>二、支出决算情况说明</w:t>
      </w:r>
    </w:p>
    <w:p>
      <w:pPr>
        <w:ind w:firstLine="63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本部门2017年度支出总计 </w:t>
      </w:r>
      <w:r>
        <w:rPr>
          <w:rFonts w:hint="eastAsia" w:ascii="仿宋_GB2312" w:hAnsi="仿宋_GB2312" w:eastAsia="仿宋_GB2312" w:cs="仿宋_GB2312"/>
          <w:sz w:val="32"/>
          <w:szCs w:val="32"/>
          <w:lang w:val="en-US" w:eastAsia="zh-CN"/>
        </w:rPr>
        <w:t>4987.1</w:t>
      </w:r>
      <w:r>
        <w:rPr>
          <w:rFonts w:hint="eastAsia" w:ascii="仿宋_GB2312" w:hAnsi="仿宋_GB2312" w:eastAsia="仿宋_GB2312" w:cs="仿宋_GB2312"/>
          <w:sz w:val="32"/>
          <w:szCs w:val="32"/>
        </w:rPr>
        <w:t xml:space="preserve"> 万元，其中本年支出合计 </w:t>
      </w:r>
      <w:r>
        <w:rPr>
          <w:rFonts w:hint="eastAsia" w:ascii="仿宋_GB2312" w:hAnsi="仿宋_GB2312" w:eastAsia="仿宋_GB2312" w:cs="仿宋_GB2312"/>
          <w:sz w:val="32"/>
          <w:szCs w:val="32"/>
          <w:lang w:val="en-US" w:eastAsia="zh-CN"/>
        </w:rPr>
        <w:t>4987.1</w:t>
      </w:r>
      <w:r>
        <w:rPr>
          <w:rFonts w:hint="eastAsia" w:ascii="仿宋_GB2312" w:hAnsi="仿宋_GB2312" w:eastAsia="仿宋_GB2312" w:cs="仿宋_GB2312"/>
          <w:sz w:val="32"/>
          <w:szCs w:val="32"/>
        </w:rPr>
        <w:t xml:space="preserve">  万元，较2016年增加</w:t>
      </w:r>
      <w:r>
        <w:rPr>
          <w:rFonts w:hint="eastAsia" w:ascii="仿宋_GB2312" w:hAnsi="仿宋_GB2312" w:eastAsia="仿宋_GB2312" w:cs="仿宋_GB2312"/>
          <w:sz w:val="32"/>
          <w:szCs w:val="32"/>
          <w:lang w:val="en-US" w:eastAsia="zh-CN"/>
        </w:rPr>
        <w:t>3080.61</w:t>
      </w:r>
      <w:r>
        <w:rPr>
          <w:rFonts w:hint="eastAsia" w:ascii="仿宋_GB2312" w:hAnsi="仿宋_GB2312" w:eastAsia="仿宋_GB2312" w:cs="仿宋_GB2312"/>
          <w:sz w:val="32"/>
          <w:szCs w:val="32"/>
        </w:rPr>
        <w:t xml:space="preserve">  万元，增长</w:t>
      </w:r>
      <w:r>
        <w:rPr>
          <w:rFonts w:hint="eastAsia" w:ascii="仿宋_GB2312" w:hAnsi="仿宋_GB2312" w:eastAsia="仿宋_GB2312" w:cs="仿宋_GB2312"/>
          <w:sz w:val="32"/>
          <w:szCs w:val="32"/>
          <w:lang w:val="en-US" w:eastAsia="zh-CN"/>
        </w:rPr>
        <w:t>161.6</w:t>
      </w:r>
      <w:r>
        <w:rPr>
          <w:rFonts w:hint="eastAsia" w:ascii="仿宋_GB2312" w:hAnsi="仿宋_GB2312" w:eastAsia="仿宋_GB2312" w:cs="仿宋_GB2312"/>
          <w:sz w:val="32"/>
          <w:szCs w:val="32"/>
        </w:rPr>
        <w:t xml:space="preserve">  %，主要原因是：</w:t>
      </w:r>
      <w:r>
        <w:rPr>
          <w:rFonts w:hint="eastAsia" w:ascii="仿宋_GB2312" w:hAnsi="仿宋_GB2312" w:eastAsia="仿宋_GB2312" w:cs="仿宋_GB2312"/>
          <w:sz w:val="32"/>
          <w:szCs w:val="32"/>
          <w:lang w:eastAsia="zh-CN"/>
        </w:rPr>
        <w:t>工程项目的增加</w:t>
      </w:r>
      <w:r>
        <w:rPr>
          <w:rFonts w:hint="eastAsia" w:ascii="仿宋_GB2312" w:hAnsi="仿宋_GB2312" w:eastAsia="仿宋_GB2312" w:cs="仿宋_GB2312"/>
          <w:sz w:val="32"/>
          <w:szCs w:val="32"/>
        </w:rPr>
        <w:t xml:space="preserve">；年末结转和结余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万元。</w:t>
      </w:r>
    </w:p>
    <w:p>
      <w:pPr>
        <w:ind w:firstLine="630"/>
        <w:jc w:val="left"/>
        <w:rPr>
          <w:rFonts w:hint="eastAsia" w:ascii="仿宋" w:hAnsi="仿宋" w:eastAsia="仿宋"/>
          <w:sz w:val="30"/>
          <w:szCs w:val="30"/>
        </w:rPr>
      </w:pPr>
      <w:r>
        <w:rPr>
          <w:rFonts w:hint="eastAsia" w:ascii="仿宋_GB2312" w:hAnsi="仿宋_GB2312" w:eastAsia="仿宋_GB2312" w:cs="仿宋_GB2312"/>
          <w:sz w:val="32"/>
          <w:szCs w:val="32"/>
        </w:rPr>
        <w:t>本年支出的具体构成为：基本支出</w:t>
      </w:r>
      <w:r>
        <w:rPr>
          <w:rFonts w:hint="eastAsia" w:ascii="仿宋_GB2312" w:hAnsi="仿宋_GB2312" w:eastAsia="仿宋_GB2312" w:cs="仿宋_GB2312"/>
          <w:sz w:val="32"/>
          <w:szCs w:val="32"/>
          <w:lang w:val="en-US" w:eastAsia="zh-CN"/>
        </w:rPr>
        <w:t>670.76</w:t>
      </w:r>
      <w:r>
        <w:rPr>
          <w:rFonts w:hint="eastAsia" w:ascii="仿宋_GB2312" w:hAnsi="仿宋_GB2312" w:eastAsia="仿宋_GB2312" w:cs="仿宋_GB2312"/>
          <w:sz w:val="32"/>
          <w:szCs w:val="32"/>
        </w:rPr>
        <w:t xml:space="preserve">   万元，占</w:t>
      </w:r>
      <w:r>
        <w:rPr>
          <w:rFonts w:hint="eastAsia" w:ascii="仿宋_GB2312" w:hAnsi="仿宋_GB2312" w:eastAsia="仿宋_GB2312" w:cs="仿宋_GB2312"/>
          <w:sz w:val="32"/>
          <w:szCs w:val="32"/>
          <w:lang w:val="en-US" w:eastAsia="zh-CN"/>
        </w:rPr>
        <w:t>13.45</w:t>
      </w:r>
      <w:r>
        <w:rPr>
          <w:rFonts w:hint="eastAsia" w:ascii="仿宋_GB2312" w:hAnsi="仿宋_GB2312" w:eastAsia="仿宋_GB2312" w:cs="仿宋_GB2312"/>
          <w:sz w:val="32"/>
          <w:szCs w:val="32"/>
        </w:rPr>
        <w:t xml:space="preserve">  %；项目支出</w:t>
      </w:r>
      <w:r>
        <w:rPr>
          <w:rFonts w:hint="eastAsia" w:ascii="仿宋_GB2312" w:hAnsi="仿宋_GB2312" w:eastAsia="仿宋_GB2312" w:cs="仿宋_GB2312"/>
          <w:sz w:val="32"/>
          <w:szCs w:val="32"/>
          <w:lang w:val="en-US" w:eastAsia="zh-CN"/>
        </w:rPr>
        <w:t>4316.34</w:t>
      </w:r>
      <w:r>
        <w:rPr>
          <w:rFonts w:hint="eastAsia" w:ascii="仿宋_GB2312" w:hAnsi="仿宋_GB2312" w:eastAsia="仿宋_GB2312" w:cs="仿宋_GB2312"/>
          <w:sz w:val="32"/>
          <w:szCs w:val="32"/>
        </w:rPr>
        <w:t xml:space="preserve">   万元，占 </w:t>
      </w:r>
      <w:r>
        <w:rPr>
          <w:rFonts w:hint="eastAsia" w:ascii="仿宋_GB2312" w:hAnsi="仿宋_GB2312" w:eastAsia="仿宋_GB2312" w:cs="仿宋_GB2312"/>
          <w:sz w:val="32"/>
          <w:szCs w:val="32"/>
          <w:lang w:val="en-US" w:eastAsia="zh-CN"/>
        </w:rPr>
        <w:t>86.55</w:t>
      </w:r>
      <w:r>
        <w:rPr>
          <w:rFonts w:hint="eastAsia" w:ascii="仿宋_GB2312" w:hAnsi="仿宋_GB2312" w:eastAsia="仿宋_GB2312" w:cs="仿宋_GB2312"/>
          <w:sz w:val="32"/>
          <w:szCs w:val="32"/>
        </w:rPr>
        <w:t xml:space="preserve">  %；经营支出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万元，占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%；其他支出（对附属单位补助支出、上缴上级支出）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万元，占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w:t>
      </w:r>
    </w:p>
    <w:p>
      <w:pPr>
        <w:ind w:firstLine="630"/>
        <w:jc w:val="left"/>
        <w:rPr>
          <w:rFonts w:hint="eastAsia" w:ascii="黑体" w:hAnsi="黑体" w:eastAsia="黑体"/>
          <w:sz w:val="30"/>
          <w:szCs w:val="30"/>
        </w:rPr>
      </w:pPr>
      <w:r>
        <w:rPr>
          <w:rFonts w:hint="eastAsia" w:ascii="黑体" w:hAnsi="黑体" w:eastAsia="黑体"/>
          <w:sz w:val="30"/>
          <w:szCs w:val="30"/>
        </w:rPr>
        <w:t>三、财政拨款支出决算情况说明</w:t>
      </w:r>
    </w:p>
    <w:p>
      <w:pPr>
        <w:ind w:firstLine="63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本部门2017年度财政拨款本年支出年初预算数为  </w:t>
      </w:r>
      <w:r>
        <w:rPr>
          <w:rFonts w:hint="eastAsia" w:ascii="仿宋_GB2312" w:hAnsi="仿宋_GB2312" w:eastAsia="仿宋_GB2312" w:cs="仿宋_GB2312"/>
          <w:sz w:val="32"/>
          <w:szCs w:val="32"/>
          <w:lang w:val="en-US" w:eastAsia="zh-CN"/>
        </w:rPr>
        <w:t>835.22</w:t>
      </w:r>
      <w:r>
        <w:rPr>
          <w:rFonts w:hint="eastAsia" w:ascii="仿宋_GB2312" w:hAnsi="仿宋_GB2312" w:eastAsia="仿宋_GB2312" w:cs="仿宋_GB2312"/>
          <w:sz w:val="32"/>
          <w:szCs w:val="32"/>
        </w:rPr>
        <w:t xml:space="preserve"> 万元，决算数为 </w:t>
      </w:r>
      <w:r>
        <w:rPr>
          <w:rFonts w:hint="eastAsia" w:ascii="仿宋_GB2312" w:hAnsi="仿宋_GB2312" w:eastAsia="仿宋_GB2312" w:cs="仿宋_GB2312"/>
          <w:sz w:val="32"/>
          <w:szCs w:val="32"/>
          <w:lang w:val="en-US" w:eastAsia="zh-CN"/>
        </w:rPr>
        <w:t>4987.1</w:t>
      </w:r>
      <w:r>
        <w:rPr>
          <w:rFonts w:hint="eastAsia" w:ascii="仿宋_GB2312" w:hAnsi="仿宋_GB2312" w:eastAsia="仿宋_GB2312" w:cs="仿宋_GB2312"/>
          <w:sz w:val="32"/>
          <w:szCs w:val="32"/>
        </w:rPr>
        <w:t xml:space="preserve"> 万元，完成年初预算的</w:t>
      </w:r>
      <w:r>
        <w:rPr>
          <w:rFonts w:hint="eastAsia" w:ascii="仿宋_GB2312" w:hAnsi="仿宋_GB2312" w:eastAsia="仿宋_GB2312" w:cs="仿宋_GB2312"/>
          <w:sz w:val="32"/>
          <w:szCs w:val="32"/>
          <w:lang w:val="en-US" w:eastAsia="zh-CN"/>
        </w:rPr>
        <w:t>597.1</w:t>
      </w:r>
      <w:r>
        <w:rPr>
          <w:rFonts w:hint="eastAsia" w:ascii="仿宋_GB2312" w:hAnsi="仿宋_GB2312" w:eastAsia="仿宋_GB2312" w:cs="仿宋_GB2312"/>
          <w:sz w:val="32"/>
          <w:szCs w:val="32"/>
        </w:rPr>
        <w:t xml:space="preserve">  %。其中：</w:t>
      </w:r>
    </w:p>
    <w:p>
      <w:pPr>
        <w:ind w:firstLine="63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（一）社会保障和就业支出年初预算数为</w:t>
      </w:r>
      <w:r>
        <w:rPr>
          <w:rFonts w:hint="eastAsia" w:ascii="仿宋_GB2312" w:hAnsi="仿宋_GB2312" w:eastAsia="仿宋_GB2312" w:cs="仿宋_GB2312"/>
          <w:sz w:val="32"/>
          <w:szCs w:val="32"/>
          <w:lang w:val="en-US" w:eastAsia="zh-CN"/>
        </w:rPr>
        <w:t>79.75</w:t>
      </w:r>
      <w:r>
        <w:rPr>
          <w:rFonts w:hint="eastAsia" w:ascii="仿宋_GB2312" w:hAnsi="仿宋_GB2312" w:eastAsia="仿宋_GB2312" w:cs="仿宋_GB2312"/>
          <w:sz w:val="32"/>
          <w:szCs w:val="32"/>
        </w:rPr>
        <w:t>万元，决算数为</w:t>
      </w:r>
      <w:r>
        <w:rPr>
          <w:rFonts w:hint="eastAsia" w:ascii="仿宋_GB2312" w:hAnsi="仿宋_GB2312" w:eastAsia="仿宋_GB2312" w:cs="仿宋_GB2312"/>
          <w:sz w:val="32"/>
          <w:szCs w:val="32"/>
          <w:lang w:val="en-US" w:eastAsia="zh-CN"/>
        </w:rPr>
        <w:t>102.15</w:t>
      </w:r>
      <w:r>
        <w:rPr>
          <w:rFonts w:hint="eastAsia" w:ascii="仿宋_GB2312" w:hAnsi="仿宋_GB2312" w:eastAsia="仿宋_GB2312" w:cs="仿宋_GB2312"/>
          <w:sz w:val="32"/>
          <w:szCs w:val="32"/>
        </w:rPr>
        <w:t>万元，完成年初预算数</w:t>
      </w:r>
      <w:r>
        <w:rPr>
          <w:rFonts w:hint="eastAsia" w:ascii="仿宋_GB2312" w:hAnsi="仿宋_GB2312" w:eastAsia="仿宋_GB2312" w:cs="仿宋_GB2312"/>
          <w:sz w:val="32"/>
          <w:szCs w:val="32"/>
          <w:lang w:val="en-US" w:eastAsia="zh-CN"/>
        </w:rPr>
        <w:t>128.1</w:t>
      </w:r>
      <w:r>
        <w:rPr>
          <w:rFonts w:hint="eastAsia" w:ascii="仿宋_GB2312" w:hAnsi="仿宋_GB2312" w:eastAsia="仿宋_GB2312" w:cs="仿宋_GB2312"/>
          <w:sz w:val="32"/>
          <w:szCs w:val="32"/>
        </w:rPr>
        <w:t xml:space="preserve">%，主要原因是机关事业单位养老保险缴费增加。 </w:t>
      </w:r>
    </w:p>
    <w:p>
      <w:pPr>
        <w:ind w:firstLine="63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）医疗卫生与计划生育支出年初预算数为</w:t>
      </w:r>
      <w:r>
        <w:rPr>
          <w:rFonts w:hint="eastAsia" w:ascii="仿宋_GB2312" w:hAnsi="仿宋_GB2312" w:eastAsia="仿宋_GB2312" w:cs="仿宋_GB2312"/>
          <w:sz w:val="32"/>
          <w:szCs w:val="32"/>
          <w:lang w:val="en-US" w:eastAsia="zh-CN"/>
        </w:rPr>
        <w:t>26.44</w:t>
      </w:r>
      <w:r>
        <w:rPr>
          <w:rFonts w:hint="eastAsia" w:ascii="仿宋_GB2312" w:hAnsi="仿宋_GB2312" w:eastAsia="仿宋_GB2312" w:cs="仿宋_GB2312"/>
          <w:sz w:val="32"/>
          <w:szCs w:val="32"/>
        </w:rPr>
        <w:t>万元，决算数为</w:t>
      </w:r>
      <w:r>
        <w:rPr>
          <w:rFonts w:hint="eastAsia" w:ascii="仿宋_GB2312" w:hAnsi="仿宋_GB2312" w:eastAsia="仿宋_GB2312" w:cs="仿宋_GB2312"/>
          <w:sz w:val="32"/>
          <w:szCs w:val="32"/>
          <w:lang w:val="en-US" w:eastAsia="zh-CN"/>
        </w:rPr>
        <w:t>27.05</w:t>
      </w:r>
      <w:r>
        <w:rPr>
          <w:rFonts w:hint="eastAsia" w:ascii="仿宋_GB2312" w:hAnsi="仿宋_GB2312" w:eastAsia="仿宋_GB2312" w:cs="仿宋_GB2312"/>
          <w:sz w:val="32"/>
          <w:szCs w:val="32"/>
        </w:rPr>
        <w:t>万元，完成年初预算的10</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%，主要原因是医保金的增加。</w:t>
      </w:r>
    </w:p>
    <w:p>
      <w:pPr>
        <w:ind w:firstLine="63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 xml:space="preserve">）城乡社区支出年初预算数为 </w:t>
      </w:r>
      <w:r>
        <w:rPr>
          <w:rFonts w:hint="eastAsia" w:ascii="仿宋_GB2312" w:hAnsi="仿宋_GB2312" w:eastAsia="仿宋_GB2312" w:cs="仿宋_GB2312"/>
          <w:sz w:val="32"/>
          <w:szCs w:val="32"/>
          <w:lang w:val="en-US" w:eastAsia="zh-CN"/>
        </w:rPr>
        <w:t>20.69</w:t>
      </w:r>
      <w:r>
        <w:rPr>
          <w:rFonts w:hint="eastAsia" w:ascii="仿宋_GB2312" w:hAnsi="仿宋_GB2312" w:eastAsia="仿宋_GB2312" w:cs="仿宋_GB2312"/>
          <w:sz w:val="32"/>
          <w:szCs w:val="32"/>
        </w:rPr>
        <w:t>万元，决算数为</w:t>
      </w:r>
      <w:r>
        <w:rPr>
          <w:rFonts w:hint="eastAsia" w:ascii="仿宋_GB2312" w:hAnsi="仿宋_GB2312" w:eastAsia="仿宋_GB2312" w:cs="仿宋_GB2312"/>
          <w:sz w:val="32"/>
          <w:szCs w:val="32"/>
          <w:lang w:val="en-US" w:eastAsia="zh-CN"/>
        </w:rPr>
        <w:t>2910.79</w:t>
      </w:r>
      <w:r>
        <w:rPr>
          <w:rFonts w:hint="eastAsia" w:ascii="仿宋_GB2312" w:hAnsi="仿宋_GB2312" w:eastAsia="仿宋_GB2312" w:cs="仿宋_GB2312"/>
          <w:sz w:val="32"/>
          <w:szCs w:val="32"/>
        </w:rPr>
        <w:t>万元，完成年初预算数</w:t>
      </w:r>
      <w:r>
        <w:rPr>
          <w:rFonts w:hint="eastAsia" w:ascii="仿宋_GB2312" w:hAnsi="仿宋_GB2312" w:eastAsia="仿宋_GB2312" w:cs="仿宋_GB2312"/>
          <w:sz w:val="32"/>
          <w:szCs w:val="32"/>
          <w:lang w:val="en-US" w:eastAsia="zh-CN"/>
        </w:rPr>
        <w:t>14068.58</w:t>
      </w:r>
      <w:r>
        <w:rPr>
          <w:rFonts w:hint="eastAsia" w:ascii="仿宋_GB2312" w:hAnsi="仿宋_GB2312" w:eastAsia="仿宋_GB2312" w:cs="仿宋_GB2312"/>
          <w:sz w:val="32"/>
          <w:szCs w:val="32"/>
        </w:rPr>
        <w:t>%，主要原</w:t>
      </w:r>
      <w:r>
        <w:rPr>
          <w:rFonts w:hint="eastAsia" w:ascii="仿宋_GB2312" w:hAnsi="仿宋_GB2312" w:eastAsia="仿宋_GB2312" w:cs="仿宋_GB2312"/>
          <w:sz w:val="32"/>
          <w:szCs w:val="32"/>
          <w:lang w:eastAsia="zh-CN"/>
        </w:rPr>
        <w:t>因是工程项目的增加</w:t>
      </w:r>
      <w:r>
        <w:rPr>
          <w:rFonts w:hint="eastAsia" w:ascii="仿宋_GB2312" w:hAnsi="仿宋_GB2312" w:eastAsia="仿宋_GB2312" w:cs="仿宋_GB2312"/>
          <w:sz w:val="32"/>
          <w:szCs w:val="32"/>
        </w:rPr>
        <w:t>等。</w:t>
      </w:r>
    </w:p>
    <w:p>
      <w:pPr>
        <w:ind w:firstLine="63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（四）交通运输支出年初预算数为</w:t>
      </w:r>
      <w:r>
        <w:rPr>
          <w:rFonts w:hint="eastAsia" w:ascii="仿宋_GB2312" w:hAnsi="仿宋_GB2312" w:eastAsia="仿宋_GB2312" w:cs="仿宋_GB2312"/>
          <w:sz w:val="32"/>
          <w:szCs w:val="32"/>
          <w:lang w:val="en-US" w:eastAsia="zh-CN"/>
        </w:rPr>
        <w:t>658.05万元，决算数为1591.22万元，完成年初预算数241.8%，主要原因是工程项目的增加等。</w:t>
      </w: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（五）住房保障支出年初预算数为</w:t>
      </w:r>
      <w:r>
        <w:rPr>
          <w:rFonts w:hint="eastAsia" w:ascii="仿宋_GB2312" w:hAnsi="仿宋_GB2312" w:eastAsia="仿宋_GB2312" w:cs="仿宋_GB2312"/>
          <w:sz w:val="32"/>
          <w:szCs w:val="32"/>
          <w:lang w:val="en-US" w:eastAsia="zh-CN"/>
        </w:rPr>
        <w:t>49.29</w:t>
      </w:r>
      <w:r>
        <w:rPr>
          <w:rFonts w:hint="eastAsia" w:ascii="仿宋_GB2312" w:hAnsi="仿宋_GB2312" w:eastAsia="仿宋_GB2312" w:cs="仿宋_GB2312"/>
          <w:sz w:val="32"/>
          <w:szCs w:val="32"/>
        </w:rPr>
        <w:t>万元，决算数为</w:t>
      </w:r>
      <w:r>
        <w:rPr>
          <w:rFonts w:hint="eastAsia" w:ascii="仿宋_GB2312" w:hAnsi="仿宋_GB2312" w:eastAsia="仿宋_GB2312" w:cs="仿宋_GB2312"/>
          <w:sz w:val="32"/>
          <w:szCs w:val="32"/>
          <w:lang w:val="en-US" w:eastAsia="zh-CN"/>
        </w:rPr>
        <w:t>50.53</w:t>
      </w:r>
      <w:r>
        <w:rPr>
          <w:rFonts w:hint="eastAsia" w:ascii="仿宋_GB2312" w:hAnsi="仿宋_GB2312" w:eastAsia="仿宋_GB2312" w:cs="仿宋_GB2312"/>
          <w:sz w:val="32"/>
          <w:szCs w:val="32"/>
        </w:rPr>
        <w:t>万元，完成年初预算数</w:t>
      </w:r>
      <w:r>
        <w:rPr>
          <w:rFonts w:hint="eastAsia" w:ascii="仿宋_GB2312" w:hAnsi="仿宋_GB2312" w:eastAsia="仿宋_GB2312" w:cs="仿宋_GB2312"/>
          <w:sz w:val="32"/>
          <w:szCs w:val="32"/>
          <w:lang w:val="en-US" w:eastAsia="zh-CN"/>
        </w:rPr>
        <w:t>102.5%</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增资了</w:t>
      </w:r>
      <w:r>
        <w:rPr>
          <w:rFonts w:hint="eastAsia" w:ascii="仿宋_GB2312" w:hAnsi="仿宋_GB2312" w:eastAsia="仿宋_GB2312" w:cs="仿宋_GB2312"/>
          <w:sz w:val="32"/>
          <w:szCs w:val="32"/>
        </w:rPr>
        <w:t>。</w:t>
      </w: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（六）其他支出年初预算数为</w:t>
      </w:r>
      <w:r>
        <w:rPr>
          <w:rFonts w:hint="eastAsia" w:ascii="仿宋_GB2312" w:hAnsi="仿宋_GB2312" w:eastAsia="仿宋_GB2312" w:cs="仿宋_GB2312"/>
          <w:sz w:val="32"/>
          <w:szCs w:val="32"/>
          <w:lang w:val="en-US" w:eastAsia="zh-CN"/>
        </w:rPr>
        <w:t>1万</w:t>
      </w:r>
      <w:r>
        <w:rPr>
          <w:rFonts w:hint="eastAsia" w:ascii="仿宋_GB2312" w:hAnsi="仿宋_GB2312" w:eastAsia="仿宋_GB2312" w:cs="仿宋_GB2312"/>
          <w:sz w:val="32"/>
          <w:szCs w:val="32"/>
        </w:rPr>
        <w:t>，决算数为0.5万元，原因是调整预算0.5万元。</w:t>
      </w:r>
    </w:p>
    <w:p>
      <w:pPr>
        <w:ind w:firstLine="630"/>
        <w:jc w:val="left"/>
        <w:rPr>
          <w:rFonts w:hint="eastAsia" w:ascii="仿宋" w:hAnsi="仿宋" w:eastAsia="仿宋"/>
          <w:sz w:val="30"/>
          <w:szCs w:val="30"/>
        </w:rPr>
      </w:pPr>
    </w:p>
    <w:p>
      <w:pPr>
        <w:ind w:firstLine="585"/>
        <w:jc w:val="left"/>
        <w:rPr>
          <w:rFonts w:hint="eastAsia" w:ascii="黑体" w:hAnsi="黑体" w:eastAsia="黑体"/>
          <w:sz w:val="30"/>
          <w:szCs w:val="30"/>
        </w:rPr>
      </w:pPr>
      <w:r>
        <w:rPr>
          <w:rFonts w:hint="eastAsia" w:ascii="黑体" w:hAnsi="黑体" w:eastAsia="黑体"/>
          <w:sz w:val="30"/>
          <w:szCs w:val="30"/>
        </w:rPr>
        <w:t>四、一般公共预算财政拨款基本支出决算情况说明</w:t>
      </w:r>
    </w:p>
    <w:p>
      <w:pPr>
        <w:ind w:firstLine="585"/>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本部门2017年度一般公共预算财政拨款基本支出</w:t>
      </w:r>
      <w:r>
        <w:rPr>
          <w:rFonts w:hint="eastAsia" w:ascii="仿宋_GB2312" w:hAnsi="仿宋_GB2312" w:eastAsia="仿宋_GB2312" w:cs="仿宋_GB2312"/>
          <w:sz w:val="32"/>
          <w:szCs w:val="32"/>
          <w:lang w:val="en-US" w:eastAsia="zh-CN"/>
        </w:rPr>
        <w:t>670.76</w:t>
      </w:r>
      <w:r>
        <w:rPr>
          <w:rFonts w:hint="eastAsia" w:ascii="仿宋_GB2312" w:hAnsi="仿宋_GB2312" w:eastAsia="仿宋_GB2312" w:cs="仿宋_GB2312"/>
          <w:sz w:val="32"/>
          <w:szCs w:val="32"/>
        </w:rPr>
        <w:t xml:space="preserve">  万元，其中：</w:t>
      </w:r>
    </w:p>
    <w:p>
      <w:pPr>
        <w:ind w:firstLine="585"/>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（一）工资福利支出 </w:t>
      </w:r>
      <w:r>
        <w:rPr>
          <w:rFonts w:hint="eastAsia" w:ascii="仿宋_GB2312" w:hAnsi="仿宋_GB2312" w:eastAsia="仿宋_GB2312" w:cs="仿宋_GB2312"/>
          <w:sz w:val="32"/>
          <w:szCs w:val="32"/>
          <w:lang w:val="en-US" w:eastAsia="zh-CN"/>
        </w:rPr>
        <w:t>506.09</w:t>
      </w:r>
      <w:r>
        <w:rPr>
          <w:rFonts w:hint="eastAsia" w:ascii="仿宋_GB2312" w:hAnsi="仿宋_GB2312" w:eastAsia="仿宋_GB2312" w:cs="仿宋_GB2312"/>
          <w:sz w:val="32"/>
          <w:szCs w:val="32"/>
        </w:rPr>
        <w:t xml:space="preserve">  万元，较2016年增加</w:t>
      </w:r>
      <w:r>
        <w:rPr>
          <w:rFonts w:hint="eastAsia" w:ascii="仿宋_GB2312" w:hAnsi="仿宋_GB2312" w:eastAsia="仿宋_GB2312" w:cs="仿宋_GB2312"/>
          <w:sz w:val="32"/>
          <w:szCs w:val="32"/>
          <w:lang w:val="en-US" w:eastAsia="zh-CN"/>
        </w:rPr>
        <w:t>98.16</w:t>
      </w:r>
      <w:r>
        <w:rPr>
          <w:rFonts w:hint="eastAsia" w:ascii="仿宋_GB2312" w:hAnsi="仿宋_GB2312" w:eastAsia="仿宋_GB2312" w:cs="仿宋_GB2312"/>
          <w:sz w:val="32"/>
          <w:szCs w:val="32"/>
        </w:rPr>
        <w:t xml:space="preserve">  万元，增长</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 xml:space="preserve">  %，主要原因是：人员工资、福利增长。</w:t>
      </w:r>
    </w:p>
    <w:p>
      <w:pPr>
        <w:ind w:firstLine="585"/>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（二）商品和服务支出 </w:t>
      </w:r>
      <w:r>
        <w:rPr>
          <w:rFonts w:hint="eastAsia" w:ascii="仿宋_GB2312" w:hAnsi="仿宋_GB2312" w:eastAsia="仿宋_GB2312" w:cs="仿宋_GB2312"/>
          <w:sz w:val="32"/>
          <w:szCs w:val="32"/>
          <w:lang w:val="en-US" w:eastAsia="zh-CN"/>
        </w:rPr>
        <w:t>64.832</w:t>
      </w:r>
      <w:r>
        <w:rPr>
          <w:rFonts w:hint="eastAsia" w:ascii="仿宋_GB2312" w:hAnsi="仿宋_GB2312" w:eastAsia="仿宋_GB2312" w:cs="仿宋_GB2312"/>
          <w:sz w:val="32"/>
          <w:szCs w:val="32"/>
        </w:rPr>
        <w:t xml:space="preserve">  万元，较2016年减少 </w:t>
      </w:r>
      <w:r>
        <w:rPr>
          <w:rFonts w:hint="eastAsia" w:ascii="仿宋_GB2312" w:hAnsi="仿宋_GB2312" w:eastAsia="仿宋_GB2312" w:cs="仿宋_GB2312"/>
          <w:sz w:val="32"/>
          <w:szCs w:val="32"/>
          <w:lang w:val="en-US" w:eastAsia="zh-CN"/>
        </w:rPr>
        <w:t>12.498</w:t>
      </w:r>
      <w:r>
        <w:rPr>
          <w:rFonts w:hint="eastAsia" w:ascii="仿宋_GB2312" w:hAnsi="仿宋_GB2312" w:eastAsia="仿宋_GB2312" w:cs="仿宋_GB2312"/>
          <w:sz w:val="32"/>
          <w:szCs w:val="32"/>
        </w:rPr>
        <w:t xml:space="preserve"> 万元，下降</w:t>
      </w:r>
      <w:r>
        <w:rPr>
          <w:rFonts w:hint="eastAsia" w:ascii="仿宋_GB2312" w:hAnsi="仿宋_GB2312" w:eastAsia="仿宋_GB2312" w:cs="仿宋_GB2312"/>
          <w:sz w:val="32"/>
          <w:szCs w:val="32"/>
          <w:lang w:val="en-US" w:eastAsia="zh-CN"/>
        </w:rPr>
        <w:t>16.16</w:t>
      </w:r>
      <w:r>
        <w:rPr>
          <w:rFonts w:hint="eastAsia" w:ascii="仿宋_GB2312" w:hAnsi="仿宋_GB2312" w:eastAsia="仿宋_GB2312" w:cs="仿宋_GB2312"/>
          <w:sz w:val="32"/>
          <w:szCs w:val="32"/>
        </w:rPr>
        <w:t xml:space="preserve">  %，主要原因是：</w:t>
      </w:r>
      <w:r>
        <w:rPr>
          <w:rFonts w:hint="eastAsia" w:ascii="仿宋_GB2312" w:hAnsi="仿宋_GB2312" w:eastAsia="仿宋_GB2312" w:cs="仿宋_GB2312"/>
          <w:sz w:val="32"/>
          <w:szCs w:val="32"/>
          <w:lang w:eastAsia="zh-CN"/>
        </w:rPr>
        <w:t>严格控制，节约开支</w:t>
      </w:r>
      <w:r>
        <w:rPr>
          <w:rFonts w:hint="eastAsia" w:ascii="仿宋_GB2312" w:hAnsi="仿宋_GB2312" w:eastAsia="仿宋_GB2312" w:cs="仿宋_GB2312"/>
          <w:sz w:val="32"/>
          <w:szCs w:val="32"/>
        </w:rPr>
        <w:t>。</w:t>
      </w:r>
    </w:p>
    <w:p>
      <w:pPr>
        <w:ind w:firstLine="585"/>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（三）对个人和家庭补助支出 </w:t>
      </w:r>
      <w:r>
        <w:rPr>
          <w:rFonts w:hint="eastAsia" w:ascii="仿宋_GB2312" w:hAnsi="仿宋_GB2312" w:eastAsia="仿宋_GB2312" w:cs="仿宋_GB2312"/>
          <w:sz w:val="32"/>
          <w:szCs w:val="32"/>
          <w:lang w:val="en-US" w:eastAsia="zh-CN"/>
        </w:rPr>
        <w:t>99.838</w:t>
      </w:r>
      <w:r>
        <w:rPr>
          <w:rFonts w:hint="eastAsia" w:ascii="仿宋_GB2312" w:hAnsi="仿宋_GB2312" w:eastAsia="仿宋_GB2312" w:cs="仿宋_GB2312"/>
          <w:sz w:val="32"/>
          <w:szCs w:val="32"/>
        </w:rPr>
        <w:t xml:space="preserve">  万元，较2016年减少</w:t>
      </w:r>
      <w:r>
        <w:rPr>
          <w:rFonts w:hint="eastAsia" w:ascii="仿宋_GB2312" w:hAnsi="仿宋_GB2312" w:eastAsia="仿宋_GB2312" w:cs="仿宋_GB2312"/>
          <w:sz w:val="32"/>
          <w:szCs w:val="32"/>
          <w:lang w:val="en-US" w:eastAsia="zh-CN"/>
        </w:rPr>
        <w:t>37.302</w:t>
      </w:r>
      <w:r>
        <w:rPr>
          <w:rFonts w:hint="eastAsia" w:ascii="仿宋_GB2312" w:hAnsi="仿宋_GB2312" w:eastAsia="仿宋_GB2312" w:cs="仿宋_GB2312"/>
          <w:sz w:val="32"/>
          <w:szCs w:val="32"/>
        </w:rPr>
        <w:t xml:space="preserve">  万元，下降</w:t>
      </w:r>
      <w:r>
        <w:rPr>
          <w:rFonts w:hint="eastAsia" w:ascii="仿宋_GB2312" w:hAnsi="仿宋_GB2312" w:eastAsia="仿宋_GB2312" w:cs="仿宋_GB2312"/>
          <w:sz w:val="32"/>
          <w:szCs w:val="32"/>
          <w:lang w:val="en-US" w:eastAsia="zh-CN"/>
        </w:rPr>
        <w:t>27.2</w:t>
      </w:r>
      <w:r>
        <w:rPr>
          <w:rFonts w:hint="eastAsia" w:ascii="仿宋_GB2312" w:hAnsi="仿宋_GB2312" w:eastAsia="仿宋_GB2312" w:cs="仿宋_GB2312"/>
          <w:sz w:val="32"/>
          <w:szCs w:val="32"/>
        </w:rPr>
        <w:t xml:space="preserve">  %，主要原因是：退休人员归入社保。</w:t>
      </w:r>
    </w:p>
    <w:p>
      <w:pPr>
        <w:ind w:firstLine="630"/>
        <w:jc w:val="left"/>
        <w:rPr>
          <w:rFonts w:hint="eastAsia" w:ascii="黑体" w:hAnsi="黑体" w:eastAsia="黑体"/>
          <w:sz w:val="30"/>
          <w:szCs w:val="30"/>
        </w:rPr>
      </w:pPr>
      <w:r>
        <w:rPr>
          <w:rFonts w:hint="eastAsia" w:ascii="黑体" w:hAnsi="黑体" w:eastAsia="黑体"/>
          <w:sz w:val="30"/>
          <w:szCs w:val="30"/>
        </w:rPr>
        <w:t>五、一般公共预算财政拨款“三公”经费支出决算情况说明</w:t>
      </w:r>
    </w:p>
    <w:p>
      <w:pPr>
        <w:ind w:firstLine="63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本部门2017年度一般公共预算财政拨款“三公”经费支出年初预算数为   </w:t>
      </w:r>
      <w:r>
        <w:rPr>
          <w:rFonts w:hint="eastAsia" w:ascii="仿宋_GB2312" w:hAnsi="仿宋_GB2312" w:eastAsia="仿宋_GB2312" w:cs="仿宋_GB2312"/>
          <w:sz w:val="32"/>
          <w:szCs w:val="32"/>
          <w:lang w:val="en-US" w:eastAsia="zh-CN"/>
        </w:rPr>
        <w:t>26.2</w:t>
      </w:r>
      <w:r>
        <w:rPr>
          <w:rFonts w:hint="eastAsia" w:ascii="仿宋_GB2312" w:hAnsi="仿宋_GB2312" w:eastAsia="仿宋_GB2312" w:cs="仿宋_GB2312"/>
          <w:sz w:val="32"/>
          <w:szCs w:val="32"/>
        </w:rPr>
        <w:t xml:space="preserve">万元，决算数为 </w:t>
      </w:r>
      <w:r>
        <w:rPr>
          <w:rFonts w:hint="eastAsia" w:ascii="仿宋_GB2312" w:hAnsi="仿宋_GB2312" w:eastAsia="仿宋_GB2312" w:cs="仿宋_GB2312"/>
          <w:sz w:val="32"/>
          <w:szCs w:val="32"/>
          <w:lang w:val="en-US" w:eastAsia="zh-CN"/>
        </w:rPr>
        <w:t>21.5</w:t>
      </w:r>
      <w:r>
        <w:rPr>
          <w:rFonts w:hint="eastAsia" w:ascii="仿宋_GB2312" w:hAnsi="仿宋_GB2312" w:eastAsia="仿宋_GB2312" w:cs="仿宋_GB2312"/>
          <w:sz w:val="32"/>
          <w:szCs w:val="32"/>
        </w:rPr>
        <w:t xml:space="preserve"> 万元，完成预算的</w:t>
      </w:r>
      <w:r>
        <w:rPr>
          <w:rFonts w:hint="eastAsia" w:ascii="仿宋_GB2312" w:hAnsi="仿宋_GB2312" w:eastAsia="仿宋_GB2312" w:cs="仿宋_GB2312"/>
          <w:sz w:val="32"/>
          <w:szCs w:val="32"/>
          <w:lang w:val="en-US" w:eastAsia="zh-CN"/>
        </w:rPr>
        <w:t>82.06</w:t>
      </w:r>
      <w:r>
        <w:rPr>
          <w:rFonts w:hint="eastAsia" w:ascii="仿宋_GB2312" w:hAnsi="仿宋_GB2312" w:eastAsia="仿宋_GB2312" w:cs="仿宋_GB2312"/>
          <w:sz w:val="32"/>
          <w:szCs w:val="32"/>
        </w:rPr>
        <w:t xml:space="preserve">  %，决算数较2016年减少</w:t>
      </w:r>
      <w:r>
        <w:rPr>
          <w:rFonts w:hint="eastAsia" w:ascii="仿宋_GB2312" w:hAnsi="仿宋_GB2312" w:eastAsia="仿宋_GB2312" w:cs="仿宋_GB2312"/>
          <w:sz w:val="32"/>
          <w:szCs w:val="32"/>
          <w:lang w:val="en-US" w:eastAsia="zh-CN"/>
        </w:rPr>
        <w:t>4.7</w:t>
      </w:r>
      <w:r>
        <w:rPr>
          <w:rFonts w:hint="eastAsia" w:ascii="仿宋_GB2312" w:hAnsi="仿宋_GB2312" w:eastAsia="仿宋_GB2312" w:cs="仿宋_GB2312"/>
          <w:sz w:val="32"/>
          <w:szCs w:val="32"/>
        </w:rPr>
        <w:t xml:space="preserve">  万元，下降</w:t>
      </w:r>
      <w:r>
        <w:rPr>
          <w:rFonts w:hint="eastAsia" w:ascii="仿宋_GB2312" w:hAnsi="仿宋_GB2312" w:eastAsia="仿宋_GB2312" w:cs="仿宋_GB2312"/>
          <w:sz w:val="32"/>
          <w:szCs w:val="32"/>
          <w:lang w:val="en-US" w:eastAsia="zh-CN"/>
        </w:rPr>
        <w:t>17.9</w:t>
      </w:r>
      <w:r>
        <w:rPr>
          <w:rFonts w:hint="eastAsia" w:ascii="仿宋_GB2312" w:hAnsi="仿宋_GB2312" w:eastAsia="仿宋_GB2312" w:cs="仿宋_GB2312"/>
          <w:sz w:val="32"/>
          <w:szCs w:val="32"/>
        </w:rPr>
        <w:t xml:space="preserve">  %，其中：</w:t>
      </w:r>
    </w:p>
    <w:p>
      <w:pPr>
        <w:ind w:firstLine="63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（一）因公出国（境）支出年初预算数为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万元，决算数为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ind w:firstLine="63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（二）公务接待费支出年初预算数为  </w:t>
      </w:r>
      <w:r>
        <w:rPr>
          <w:rFonts w:hint="eastAsia" w:ascii="仿宋_GB2312" w:hAnsi="仿宋_GB2312" w:eastAsia="仿宋_GB2312" w:cs="仿宋_GB2312"/>
          <w:sz w:val="32"/>
          <w:szCs w:val="32"/>
          <w:lang w:val="en-US" w:eastAsia="zh-CN"/>
        </w:rPr>
        <w:t>23.2</w:t>
      </w:r>
      <w:r>
        <w:rPr>
          <w:rFonts w:hint="eastAsia" w:ascii="仿宋_GB2312" w:hAnsi="仿宋_GB2312" w:eastAsia="仿宋_GB2312" w:cs="仿宋_GB2312"/>
          <w:sz w:val="32"/>
          <w:szCs w:val="32"/>
        </w:rPr>
        <w:t xml:space="preserve"> 万元，决算数为 </w:t>
      </w:r>
      <w:r>
        <w:rPr>
          <w:rFonts w:hint="eastAsia" w:ascii="仿宋_GB2312" w:hAnsi="仿宋_GB2312" w:eastAsia="仿宋_GB2312" w:cs="仿宋_GB2312"/>
          <w:sz w:val="32"/>
          <w:szCs w:val="32"/>
          <w:lang w:val="en-US" w:eastAsia="zh-CN"/>
        </w:rPr>
        <w:t>21.5</w:t>
      </w:r>
      <w:r>
        <w:rPr>
          <w:rFonts w:hint="eastAsia" w:ascii="仿宋_GB2312" w:hAnsi="仿宋_GB2312" w:eastAsia="仿宋_GB2312" w:cs="仿宋_GB2312"/>
          <w:sz w:val="32"/>
          <w:szCs w:val="32"/>
        </w:rPr>
        <w:t xml:space="preserve"> 万元，完成预算的</w:t>
      </w:r>
      <w:r>
        <w:rPr>
          <w:rFonts w:hint="eastAsia" w:ascii="仿宋_GB2312" w:hAnsi="仿宋_GB2312" w:eastAsia="仿宋_GB2312" w:cs="仿宋_GB2312"/>
          <w:sz w:val="32"/>
          <w:szCs w:val="32"/>
          <w:lang w:val="en-US" w:eastAsia="zh-CN"/>
        </w:rPr>
        <w:t>92.67</w:t>
      </w:r>
      <w:r>
        <w:rPr>
          <w:rFonts w:hint="eastAsia" w:ascii="仿宋_GB2312" w:hAnsi="仿宋_GB2312" w:eastAsia="仿宋_GB2312" w:cs="仿宋_GB2312"/>
          <w:sz w:val="32"/>
          <w:szCs w:val="32"/>
        </w:rPr>
        <w:t xml:space="preserve"> %，决算数较2016年减少</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 xml:space="preserve">  万元，下降</w:t>
      </w:r>
      <w:r>
        <w:rPr>
          <w:rFonts w:hint="eastAsia" w:ascii="仿宋_GB2312" w:hAnsi="仿宋_GB2312" w:eastAsia="仿宋_GB2312" w:cs="仿宋_GB2312"/>
          <w:sz w:val="32"/>
          <w:szCs w:val="32"/>
          <w:lang w:val="en-US" w:eastAsia="zh-CN"/>
        </w:rPr>
        <w:t>0.07</w:t>
      </w:r>
      <w:r>
        <w:rPr>
          <w:rFonts w:hint="eastAsia" w:ascii="仿宋_GB2312" w:hAnsi="仿宋_GB2312" w:eastAsia="仿宋_GB2312" w:cs="仿宋_GB2312"/>
          <w:sz w:val="32"/>
          <w:szCs w:val="32"/>
        </w:rPr>
        <w:t xml:space="preserve">  %。主要原因是：严格</w:t>
      </w:r>
      <w:r>
        <w:rPr>
          <w:rFonts w:hint="eastAsia" w:ascii="仿宋_GB2312" w:hAnsi="仿宋_GB2312" w:eastAsia="仿宋_GB2312" w:cs="仿宋_GB2312"/>
          <w:sz w:val="32"/>
          <w:szCs w:val="32"/>
          <w:lang w:eastAsia="zh-CN"/>
        </w:rPr>
        <w:t>控制</w:t>
      </w:r>
      <w:r>
        <w:rPr>
          <w:rFonts w:hint="eastAsia" w:ascii="仿宋_GB2312" w:hAnsi="仿宋_GB2312" w:eastAsia="仿宋_GB2312" w:cs="仿宋_GB2312"/>
          <w:sz w:val="32"/>
          <w:szCs w:val="32"/>
        </w:rPr>
        <w:t>三公经费支出。</w:t>
      </w:r>
    </w:p>
    <w:p>
      <w:pPr>
        <w:ind w:firstLine="630"/>
        <w:jc w:val="left"/>
        <w:rPr>
          <w:rFonts w:hint="eastAsia" w:ascii="仿宋" w:hAnsi="仿宋" w:eastAsia="仿宋"/>
          <w:sz w:val="30"/>
          <w:szCs w:val="30"/>
        </w:rPr>
      </w:pPr>
      <w:r>
        <w:rPr>
          <w:rFonts w:hint="eastAsia" w:ascii="仿宋_GB2312" w:hAnsi="仿宋_GB2312" w:eastAsia="仿宋_GB2312" w:cs="仿宋_GB2312"/>
          <w:sz w:val="32"/>
          <w:szCs w:val="32"/>
        </w:rPr>
        <w:t xml:space="preserve">（三）公务用车购置及运行维护费支出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万元，其中公务用车购置年初预算数为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万元，决算数为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万元；公务用车运行维护费支出年初预算数为  </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xml:space="preserve"> 万元，决算数为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万元，完成预算的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%，决算数较2016年减少</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xml:space="preserve">  万元，下降</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 xml:space="preserve">  %。主要原因是：</w:t>
      </w:r>
      <w:r>
        <w:rPr>
          <w:rFonts w:hint="eastAsia" w:ascii="仿宋_GB2312" w:hAnsi="仿宋_GB2312" w:eastAsia="仿宋_GB2312" w:cs="仿宋_GB2312"/>
          <w:sz w:val="32"/>
          <w:szCs w:val="32"/>
          <w:lang w:eastAsia="zh-CN"/>
        </w:rPr>
        <w:t>公车改革后我单位无公车</w:t>
      </w:r>
      <w:r>
        <w:rPr>
          <w:rFonts w:hint="eastAsia" w:ascii="仿宋_GB2312" w:hAnsi="仿宋_GB2312" w:eastAsia="仿宋_GB2312" w:cs="仿宋_GB2312"/>
          <w:sz w:val="32"/>
          <w:szCs w:val="32"/>
        </w:rPr>
        <w:t>。</w:t>
      </w:r>
    </w:p>
    <w:p>
      <w:pPr>
        <w:ind w:firstLine="630"/>
        <w:jc w:val="left"/>
        <w:rPr>
          <w:rFonts w:hint="eastAsia" w:ascii="黑体" w:hAnsi="黑体" w:eastAsia="黑体"/>
          <w:sz w:val="30"/>
          <w:szCs w:val="30"/>
        </w:rPr>
      </w:pPr>
      <w:r>
        <w:rPr>
          <w:rFonts w:hint="eastAsia" w:ascii="黑体" w:hAnsi="黑体" w:eastAsia="黑体"/>
          <w:sz w:val="30"/>
          <w:szCs w:val="30"/>
        </w:rPr>
        <w:t>六、机关运行经费支出情况说明</w:t>
      </w:r>
    </w:p>
    <w:p>
      <w:pPr>
        <w:ind w:firstLine="630"/>
        <w:jc w:val="left"/>
        <w:rPr>
          <w:rFonts w:hint="eastAsia" w:ascii="仿宋" w:hAnsi="仿宋" w:eastAsia="仿宋"/>
          <w:sz w:val="30"/>
          <w:szCs w:val="30"/>
        </w:rPr>
      </w:pPr>
      <w:r>
        <w:rPr>
          <w:rFonts w:hint="eastAsia" w:ascii="仿宋_GB2312" w:hAnsi="仿宋_GB2312" w:eastAsia="仿宋_GB2312" w:cs="仿宋_GB2312"/>
          <w:sz w:val="32"/>
          <w:szCs w:val="32"/>
        </w:rPr>
        <w:t xml:space="preserve">本部门2017年度机关运行经费支出 </w:t>
      </w:r>
      <w:r>
        <w:rPr>
          <w:rFonts w:hint="eastAsia" w:ascii="仿宋_GB2312" w:hAnsi="仿宋_GB2312" w:eastAsia="仿宋_GB2312" w:cs="仿宋_GB2312"/>
          <w:sz w:val="32"/>
          <w:szCs w:val="32"/>
          <w:lang w:val="en-US" w:eastAsia="zh-CN"/>
        </w:rPr>
        <w:t>64.832</w:t>
      </w:r>
      <w:r>
        <w:rPr>
          <w:rFonts w:hint="eastAsia" w:ascii="仿宋_GB2312" w:hAnsi="仿宋_GB2312" w:eastAsia="仿宋_GB2312" w:cs="仿宋_GB2312"/>
          <w:sz w:val="32"/>
          <w:szCs w:val="32"/>
        </w:rPr>
        <w:t xml:space="preserve">  万元（与部门决算中行政单位和参照公务员法管理事业单位一般公共预算财政拨款基本支出中公用经费保持一致），较2016年减少</w:t>
      </w:r>
      <w:r>
        <w:rPr>
          <w:rFonts w:hint="eastAsia" w:ascii="仿宋_GB2312" w:hAnsi="仿宋_GB2312" w:eastAsia="仿宋_GB2312" w:cs="仿宋_GB2312"/>
          <w:sz w:val="32"/>
          <w:szCs w:val="32"/>
          <w:lang w:val="en-US" w:eastAsia="zh-CN"/>
        </w:rPr>
        <w:t>12.498</w:t>
      </w:r>
      <w:r>
        <w:rPr>
          <w:rFonts w:hint="eastAsia" w:ascii="仿宋_GB2312" w:hAnsi="仿宋_GB2312" w:eastAsia="仿宋_GB2312" w:cs="仿宋_GB2312"/>
          <w:sz w:val="32"/>
          <w:szCs w:val="32"/>
        </w:rPr>
        <w:t xml:space="preserve">  万元，下降</w:t>
      </w:r>
      <w:r>
        <w:rPr>
          <w:rFonts w:hint="eastAsia" w:ascii="仿宋_GB2312" w:hAnsi="仿宋_GB2312" w:eastAsia="仿宋_GB2312" w:cs="仿宋_GB2312"/>
          <w:sz w:val="32"/>
          <w:szCs w:val="32"/>
          <w:lang w:val="en-US" w:eastAsia="zh-CN"/>
        </w:rPr>
        <w:t>16.16</w:t>
      </w:r>
      <w:r>
        <w:rPr>
          <w:rFonts w:hint="eastAsia" w:ascii="仿宋_GB2312" w:hAnsi="仿宋_GB2312" w:eastAsia="仿宋_GB2312" w:cs="仿宋_GB2312"/>
          <w:sz w:val="32"/>
          <w:szCs w:val="32"/>
        </w:rPr>
        <w:t xml:space="preserve">  %，主要原因是：</w:t>
      </w:r>
      <w:r>
        <w:rPr>
          <w:rFonts w:hint="eastAsia" w:ascii="仿宋_GB2312" w:hAnsi="仿宋_GB2312" w:eastAsia="仿宋_GB2312" w:cs="仿宋_GB2312"/>
          <w:sz w:val="32"/>
          <w:szCs w:val="32"/>
          <w:lang w:eastAsia="zh-CN"/>
        </w:rPr>
        <w:t>严格控制，节约开支</w:t>
      </w:r>
      <w:r>
        <w:rPr>
          <w:rFonts w:hint="eastAsia" w:ascii="仿宋_GB2312" w:hAnsi="仿宋_GB2312" w:eastAsia="仿宋_GB2312" w:cs="仿宋_GB2312"/>
          <w:sz w:val="32"/>
          <w:szCs w:val="32"/>
        </w:rPr>
        <w:t>。</w:t>
      </w:r>
      <w:r>
        <w:rPr>
          <w:rFonts w:hint="eastAsia" w:ascii="仿宋" w:hAnsi="仿宋" w:eastAsia="仿宋"/>
          <w:sz w:val="30"/>
          <w:szCs w:val="30"/>
        </w:rPr>
        <w:t xml:space="preserve"> </w:t>
      </w:r>
    </w:p>
    <w:p>
      <w:pPr>
        <w:ind w:firstLine="630"/>
        <w:jc w:val="left"/>
        <w:rPr>
          <w:rFonts w:ascii="黑体" w:hAnsi="黑体" w:eastAsia="黑体"/>
          <w:sz w:val="30"/>
          <w:szCs w:val="30"/>
        </w:rPr>
      </w:pPr>
      <w:r>
        <w:rPr>
          <w:rFonts w:hint="eastAsia" w:ascii="黑体" w:hAnsi="黑体" w:eastAsia="黑体"/>
          <w:sz w:val="30"/>
          <w:szCs w:val="30"/>
        </w:rPr>
        <w:t>七、政府采购支出情况说明</w:t>
      </w:r>
    </w:p>
    <w:p>
      <w:pPr>
        <w:pStyle w:val="15"/>
        <w:spacing w:line="600" w:lineRule="atLeast"/>
        <w:ind w:firstLine="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本部门2017年度政府采购支出总额  </w:t>
      </w:r>
      <w:r>
        <w:rPr>
          <w:rFonts w:hint="eastAsia" w:ascii="仿宋_GB2312" w:hAnsi="仿宋_GB2312" w:eastAsia="仿宋_GB2312" w:cs="仿宋_GB2312"/>
          <w:sz w:val="32"/>
          <w:szCs w:val="32"/>
          <w:lang w:val="en-US" w:eastAsia="zh-CN"/>
        </w:rPr>
        <w:t>18.9</w:t>
      </w:r>
      <w:r>
        <w:rPr>
          <w:rFonts w:hint="eastAsia" w:ascii="仿宋_GB2312" w:hAnsi="仿宋_GB2312" w:eastAsia="仿宋_GB2312" w:cs="仿宋_GB2312"/>
          <w:sz w:val="32"/>
          <w:szCs w:val="32"/>
        </w:rPr>
        <w:t xml:space="preserve">万元，其中：政府采购货物支出 </w:t>
      </w:r>
      <w:r>
        <w:rPr>
          <w:rFonts w:hint="eastAsia" w:ascii="仿宋_GB2312" w:hAnsi="仿宋_GB2312" w:eastAsia="仿宋_GB2312" w:cs="仿宋_GB2312"/>
          <w:sz w:val="32"/>
          <w:szCs w:val="32"/>
          <w:lang w:val="en-US" w:eastAsia="zh-CN"/>
        </w:rPr>
        <w:t>18.9</w:t>
      </w:r>
      <w:r>
        <w:rPr>
          <w:rFonts w:hint="eastAsia" w:ascii="仿宋_GB2312" w:hAnsi="仿宋_GB2312" w:eastAsia="仿宋_GB2312" w:cs="仿宋_GB2312"/>
          <w:sz w:val="32"/>
          <w:szCs w:val="32"/>
        </w:rPr>
        <w:t xml:space="preserve"> 万元、政府采购工程支出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万元、政府采购服务支出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万元。授予中小企业合同金额  </w:t>
      </w:r>
      <w:r>
        <w:rPr>
          <w:rFonts w:hint="eastAsia" w:ascii="仿宋_GB2312" w:hAnsi="仿宋_GB2312" w:eastAsia="仿宋_GB2312" w:cs="仿宋_GB2312"/>
          <w:sz w:val="32"/>
          <w:szCs w:val="32"/>
          <w:lang w:val="en-US" w:eastAsia="zh-CN"/>
        </w:rPr>
        <w:t>18.9</w:t>
      </w:r>
      <w:r>
        <w:rPr>
          <w:rFonts w:hint="eastAsia" w:ascii="仿宋_GB2312" w:hAnsi="仿宋_GB2312" w:eastAsia="仿宋_GB2312" w:cs="仿宋_GB2312"/>
          <w:sz w:val="32"/>
          <w:szCs w:val="32"/>
        </w:rPr>
        <w:t xml:space="preserve">万元，占政府采购支出总额的 </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 xml:space="preserve"> %，其中：授予小微企业合同金额 </w:t>
      </w:r>
      <w:r>
        <w:rPr>
          <w:rFonts w:hint="eastAsia" w:ascii="仿宋_GB2312" w:hAnsi="仿宋_GB2312" w:eastAsia="仿宋_GB2312" w:cs="仿宋_GB2312"/>
          <w:sz w:val="32"/>
          <w:szCs w:val="32"/>
          <w:lang w:val="en-US" w:eastAsia="zh-CN"/>
        </w:rPr>
        <w:t>18.9</w:t>
      </w:r>
      <w:r>
        <w:rPr>
          <w:rFonts w:hint="eastAsia" w:ascii="仿宋_GB2312" w:hAnsi="仿宋_GB2312" w:eastAsia="仿宋_GB2312" w:cs="仿宋_GB2312"/>
          <w:sz w:val="32"/>
          <w:szCs w:val="32"/>
        </w:rPr>
        <w:t xml:space="preserve"> 万元，占政府采购支出总额的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 xml:space="preserve">  %。</w:t>
      </w:r>
    </w:p>
    <w:p>
      <w:pPr>
        <w:ind w:firstLine="630"/>
        <w:jc w:val="left"/>
        <w:rPr>
          <w:rFonts w:hint="eastAsia" w:ascii="黑体" w:hAnsi="黑体" w:eastAsia="黑体"/>
          <w:sz w:val="30"/>
          <w:szCs w:val="30"/>
        </w:rPr>
      </w:pPr>
      <w:r>
        <w:rPr>
          <w:rFonts w:hint="eastAsia" w:ascii="黑体" w:hAnsi="黑体" w:eastAsia="黑体"/>
          <w:sz w:val="30"/>
          <w:szCs w:val="30"/>
        </w:rPr>
        <w:t>八、预算绩效情况说明</w:t>
      </w:r>
    </w:p>
    <w:p>
      <w:pPr>
        <w:spacing w:line="600" w:lineRule="exact"/>
        <w:ind w:firstLine="602"/>
        <w:rPr>
          <w:rFonts w:hint="eastAsia" w:ascii="仿宋_GB2312" w:hAnsi="仿宋" w:eastAsia="仿宋_GB2312"/>
          <w:sz w:val="32"/>
          <w:szCs w:val="32"/>
        </w:rPr>
      </w:pPr>
      <w:r>
        <w:rPr>
          <w:rFonts w:hint="eastAsia" w:ascii="仿宋" w:hAnsi="仿宋" w:eastAsia="仿宋" w:cs="仿宋_GB2312"/>
          <w:kern w:val="0"/>
          <w:sz w:val="30"/>
          <w:szCs w:val="30"/>
        </w:rPr>
        <w:t xml:space="preserve">   </w:t>
      </w:r>
      <w:r>
        <w:rPr>
          <w:rFonts w:hint="eastAsia" w:ascii="宋体" w:hAnsi="宋体" w:eastAsia="宋体" w:cs="宋体"/>
          <w:b w:val="0"/>
          <w:i w:val="0"/>
          <w:caps w:val="0"/>
          <w:color w:val="000000"/>
          <w:spacing w:val="0"/>
          <w:sz w:val="30"/>
          <w:szCs w:val="30"/>
          <w:shd w:val="clear" w:fill="FFFFFF"/>
        </w:rPr>
        <w:t> </w:t>
      </w:r>
      <w:r>
        <w:rPr>
          <w:rFonts w:ascii="宋体" w:hAnsi="宋体" w:eastAsia="宋体" w:cs="宋体"/>
          <w:b w:val="0"/>
          <w:i w:val="0"/>
          <w:caps w:val="0"/>
          <w:color w:val="000000"/>
          <w:spacing w:val="0"/>
          <w:sz w:val="30"/>
          <w:szCs w:val="30"/>
          <w:shd w:val="clear" w:fill="FFFFFF"/>
        </w:rPr>
        <w:t>201</w:t>
      </w:r>
      <w:r>
        <w:rPr>
          <w:rFonts w:hint="eastAsia" w:ascii="宋体" w:hAnsi="宋体" w:eastAsia="宋体" w:cs="宋体"/>
          <w:b w:val="0"/>
          <w:i w:val="0"/>
          <w:caps w:val="0"/>
          <w:color w:val="000000"/>
          <w:spacing w:val="0"/>
          <w:sz w:val="30"/>
          <w:szCs w:val="30"/>
          <w:shd w:val="clear" w:fill="FFFFFF"/>
          <w:lang w:val="en-US" w:eastAsia="zh-CN"/>
        </w:rPr>
        <w:t>7</w:t>
      </w:r>
      <w:r>
        <w:rPr>
          <w:rFonts w:hint="eastAsia" w:ascii="宋体" w:hAnsi="宋体" w:eastAsia="宋体" w:cs="宋体"/>
          <w:b w:val="0"/>
          <w:i w:val="0"/>
          <w:caps w:val="0"/>
          <w:color w:val="000000"/>
          <w:spacing w:val="0"/>
          <w:sz w:val="30"/>
          <w:szCs w:val="30"/>
          <w:shd w:val="clear" w:fill="FFFFFF"/>
        </w:rPr>
        <w:t>年，我单位以绩效目标实现为导向，进一步加强制度建设，提升自评质量，预算绩效管理取得新成效。一是抓好绩效目标编制，及时报送绩效目标。二是探索绩效跟踪监控，要求加强过程监控。三是深入开展财政支出绩效评价，对专项资金实施绩效自评和项目核查，在此基础上形成自评报告。四是强化评价结果应用，组织绩效自评和绩效跟踪监控，对发现的问题及时改进，加强评价结果与项目资金安排的衔接。五是健全绩效管理工作机制，明确职责分工，努力提高了绩效管理工作水平。</w:t>
      </w: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九、国有资产占用情况说明</w:t>
      </w:r>
    </w:p>
    <w:p>
      <w:pPr>
        <w:autoSpaceDE w:val="0"/>
        <w:autoSpaceDN w:val="0"/>
        <w:adjustRightInd w:val="0"/>
        <w:spacing w:line="360" w:lineRule="auto"/>
        <w:jc w:val="left"/>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截止2</w:t>
      </w:r>
      <w:r>
        <w:rPr>
          <w:rFonts w:hint="eastAsia" w:ascii="仿宋_GB2312" w:hAnsi="仿宋_GB2312" w:eastAsia="仿宋_GB2312" w:cs="仿宋_GB2312"/>
          <w:color w:val="auto"/>
          <w:sz w:val="32"/>
          <w:szCs w:val="32"/>
        </w:rPr>
        <w:t>017年，</w:t>
      </w:r>
      <w:r>
        <w:rPr>
          <w:rFonts w:hint="eastAsia" w:ascii="仿宋_GB2312" w:hAnsi="仿宋_GB2312" w:eastAsia="仿宋_GB2312" w:cs="仿宋_GB2312"/>
          <w:color w:val="auto"/>
          <w:sz w:val="32"/>
          <w:szCs w:val="32"/>
          <w:lang w:eastAsia="zh-CN"/>
        </w:rPr>
        <w:t>本</w:t>
      </w:r>
      <w:r>
        <w:rPr>
          <w:rFonts w:hint="eastAsia" w:ascii="仿宋_GB2312" w:hAnsi="仿宋_GB2312" w:eastAsia="仿宋_GB2312" w:cs="仿宋_GB2312"/>
          <w:color w:val="auto"/>
          <w:sz w:val="32"/>
          <w:szCs w:val="32"/>
        </w:rPr>
        <w:t>部门共有车辆</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辆，其中一般公务用车</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辆</w:t>
      </w:r>
      <w:r>
        <w:rPr>
          <w:rFonts w:hint="eastAsia" w:ascii="仿宋_GB2312" w:hAnsi="仿宋_GB2312" w:eastAsia="仿宋_GB2312" w:cs="仿宋_GB2312"/>
          <w:color w:val="auto"/>
          <w:sz w:val="32"/>
          <w:szCs w:val="32"/>
          <w:lang w:eastAsia="zh-CN"/>
        </w:rPr>
        <w:t>，一般执法执勤用车</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lang w:eastAsia="zh-CN"/>
        </w:rPr>
        <w:t>辆，特种专业技术用车</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lang w:eastAsia="zh-CN"/>
        </w:rPr>
        <w:t>辆，其他用车</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辆，单价50万元（含）以上通用设备</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lang w:eastAsia="zh-CN"/>
        </w:rPr>
        <w:t>（台，套），单价100万元（含）以上专用设备</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lang w:eastAsia="zh-CN"/>
        </w:rPr>
        <w:t>（台，套）</w:t>
      </w:r>
      <w:r>
        <w:rPr>
          <w:rFonts w:hint="eastAsia" w:ascii="仿宋_GB2312" w:hAnsi="仿宋_GB2312" w:eastAsia="仿宋_GB2312" w:cs="仿宋_GB2312"/>
          <w:color w:val="auto"/>
          <w:sz w:val="32"/>
          <w:szCs w:val="32"/>
        </w:rPr>
        <w:t>。</w:t>
      </w: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bookmarkStart w:id="0" w:name="_GoBack"/>
      <w:bookmarkEnd w:id="0"/>
    </w:p>
    <w:p>
      <w:pPr>
        <w:widowControl/>
        <w:spacing w:line="600" w:lineRule="exact"/>
        <w:ind w:firstLine="640"/>
        <w:jc w:val="center"/>
        <w:rPr>
          <w:rFonts w:hint="eastAsia" w:ascii="宋体" w:hAnsi="宋体"/>
          <w:b/>
          <w:sz w:val="32"/>
          <w:szCs w:val="32"/>
        </w:rPr>
      </w:pPr>
      <w:r>
        <w:rPr>
          <w:rFonts w:hint="eastAsia" w:ascii="宋体" w:hAnsi="宋体"/>
          <w:b/>
          <w:sz w:val="32"/>
          <w:szCs w:val="32"/>
        </w:rPr>
        <w:t>第四部分  名词解释</w:t>
      </w:r>
    </w:p>
    <w:p>
      <w:pPr>
        <w:pStyle w:val="4"/>
        <w:keepNext w:val="0"/>
        <w:keepLines w:val="0"/>
        <w:widowControl/>
        <w:suppressLineNumbers w:val="0"/>
        <w:spacing w:before="0" w:beforeAutospacing="0" w:after="0" w:afterAutospacing="0" w:line="480" w:lineRule="auto"/>
        <w:ind w:firstLine="600" w:firstLineChars="200"/>
        <w:rPr>
          <w:rFonts w:hint="eastAsia" w:ascii="仿宋_GB2312" w:hAnsi="仿宋_GB2312" w:eastAsia="仿宋_GB2312" w:cs="仿宋_GB2312"/>
          <w:color w:val="333333"/>
          <w:sz w:val="32"/>
          <w:szCs w:val="32"/>
        </w:rPr>
      </w:pPr>
      <w:r>
        <w:rPr>
          <w:rFonts w:hint="eastAsia" w:ascii="仿宋" w:hAnsi="仿宋" w:eastAsia="仿宋"/>
          <w:kern w:val="0"/>
          <w:sz w:val="30"/>
          <w:szCs w:val="30"/>
        </w:rPr>
        <w:t xml:space="preserve"> </w:t>
      </w:r>
      <w:r>
        <w:rPr>
          <w:rFonts w:hint="eastAsia" w:ascii="仿宋_GB2312" w:hAnsi="仿宋_GB2312" w:eastAsia="仿宋_GB2312" w:cs="仿宋_GB2312"/>
          <w:color w:val="333333"/>
          <w:sz w:val="32"/>
          <w:szCs w:val="32"/>
        </w:rPr>
        <w:t>财政拨款收入：指单位本年度从</w:t>
      </w:r>
      <w:r>
        <w:rPr>
          <w:rFonts w:hint="eastAsia" w:ascii="仿宋_GB2312" w:hAnsi="仿宋_GB2312" w:eastAsia="仿宋_GB2312" w:cs="仿宋_GB2312"/>
          <w:color w:val="333333"/>
          <w:sz w:val="32"/>
          <w:szCs w:val="32"/>
          <w:lang w:eastAsia="zh-CN"/>
        </w:rPr>
        <w:t>县</w:t>
      </w:r>
      <w:r>
        <w:rPr>
          <w:rFonts w:hint="eastAsia" w:ascii="仿宋_GB2312" w:hAnsi="仿宋_GB2312" w:eastAsia="仿宋_GB2312" w:cs="仿宋_GB2312"/>
          <w:color w:val="333333"/>
          <w:sz w:val="32"/>
          <w:szCs w:val="32"/>
        </w:rPr>
        <w:t xml:space="preserve">级财政部门取得的财政拨款。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上级补助收入：指事业单位从主管部门和上级单位取得的非财政补助收入。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事业收入：指事业单位开展专业业务活动及其辅助活动取得的收入，事业单位收到的财政专户实际核拨的教育收费等资金在此反映。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经营收入：指事业单位在专业业务活动及其辅助活动之外开展非独立核算经营活动取得的收入。</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附属单位缴款：指事业单位附属独立核算单位按照有关规定上缴的收入。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其他收入：指单位取得的除上述“财政拨款收入”、“事业收入”、“经营收入”等以外的各项收入。</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用事业基金弥补收支差额：指事业单位用事业基金弥补当年收支差额的数额。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年初结转和结余：指单位上年结转本年使用的基本支出结转、项目支出结转和结余和经营结余。</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结余分配：指事业单位按规定对非财政补助结余资金提取的职工福利基金、事业基金和缴纳的所得税，以及减少单位按规定应缴回的基本建设竣工项目结余资金。</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年末结转和结余资金：指本年度或以前年度预算安排、因客观条件发生变化无法按原计划实施，需要延迟到以后年度按有关规定继续使用的资金。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基本支出：指为保障机构正常运转、完成日常工作任务而发生的人员支出和公用支出。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项目支出：指在基本支出之外为完成特定的行政任务或事业发展目标所发生的支出。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上缴上级支出：指事业单位按照财政部门和主管部门的规定上缴上级单位的支出。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经营支出：指事业单位在专业业务活动及其辅助活动之外开展非独立核算经营活动发生的支出。</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对附属单位补助支出：指事业单位用财政补助收入之外的收入对附属单位补助发生的支出。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“三公”经费：指</w:t>
      </w:r>
      <w:r>
        <w:rPr>
          <w:rFonts w:hint="eastAsia" w:ascii="仿宋_GB2312" w:hAnsi="仿宋_GB2312" w:eastAsia="仿宋_GB2312" w:cs="仿宋_GB2312"/>
          <w:color w:val="333333"/>
          <w:sz w:val="32"/>
          <w:szCs w:val="32"/>
          <w:lang w:eastAsia="zh-CN"/>
        </w:rPr>
        <w:t>各</w:t>
      </w:r>
      <w:r>
        <w:rPr>
          <w:rFonts w:hint="eastAsia" w:ascii="仿宋_GB2312" w:hAnsi="仿宋_GB2312" w:eastAsia="仿宋_GB2312" w:cs="仿宋_GB2312"/>
          <w:color w:val="333333"/>
          <w:sz w:val="32"/>
          <w:szCs w:val="32"/>
        </w:rPr>
        <w:t xml:space="preserve">部门用一般公共预算财政拨款安排的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机关运行经费：指为保障行政单位（含参照公务员法管理的事业单位）运行用于购买货物和服务的各项资金，包括办公费、印刷费、差旅费、会议费、日常维修费、专用材料及办公用房水电费、物业管理费、公务用车运行维护费等。 </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一般公共服务（类）财政事务（款）行政运行（项）：指财政厅行政单位及参照公务员法管理的事业单位，用于保障机构正常运行、开展日常工作的基本支出。</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社会保障和就业支出（类）行政事业单位离退休（款）事业单位离退休（项）：指实行归口管理的事业单位开支的离退休经费。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社会保障和就业支出（类）行政事业单位离退休（款）</w:t>
      </w:r>
      <w:r>
        <w:rPr>
          <w:rFonts w:hint="eastAsia" w:ascii="仿宋_GB2312" w:hAnsi="仿宋_GB2312" w:eastAsia="仿宋_GB2312" w:cs="仿宋_GB2312"/>
          <w:sz w:val="32"/>
          <w:szCs w:val="32"/>
          <w:lang w:eastAsia="zh-CN"/>
        </w:rPr>
        <w:t>行政</w:t>
      </w:r>
      <w:r>
        <w:rPr>
          <w:rFonts w:hint="eastAsia" w:ascii="仿宋_GB2312" w:hAnsi="仿宋_GB2312" w:eastAsia="仿宋_GB2312" w:cs="仿宋_GB2312"/>
          <w:sz w:val="32"/>
          <w:szCs w:val="32"/>
        </w:rPr>
        <w:t>单位离退休（项）：指未归口管理的行政单位开支的离退休经费。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社会保障和就业支出（类）行政事业单位离退休（款）机关事业单位基本养老保险缴费支出（项）：指机关事业单位实施养老保险制度由单位缴纳的基本养老保险支出。</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医疗卫生和计划生育支出（类）行政事业单位医疗（款）行政单位医疗（项）：指财政部门集中安排的行政单位基本医疗保险缴费经费，未参加医疗保险的行政单位的公费医疗经费，按国家规定享受离休人员、红军老战士待遇人员的医疗经费。</w:t>
      </w:r>
    </w:p>
    <w:p>
      <w:pPr>
        <w:ind w:firstLine="640" w:firstLineChars="200"/>
        <w:rPr>
          <w:rFonts w:hint="eastAsia" w:ascii="仿宋" w:hAnsi="仿宋" w:eastAsia="仿宋"/>
          <w:sz w:val="30"/>
          <w:szCs w:val="30"/>
          <w:lang w:eastAsia="zh-CN"/>
        </w:rPr>
      </w:pPr>
      <w:r>
        <w:rPr>
          <w:rFonts w:hint="eastAsia" w:ascii="仿宋_GB2312" w:hAnsi="仿宋_GB2312" w:eastAsia="仿宋_GB2312" w:cs="仿宋_GB2312"/>
          <w:sz w:val="32"/>
          <w:szCs w:val="32"/>
        </w:rPr>
        <w:t>住房保障支出（类）住房改革支出（款）购房补贴（项）：指按房改政策规定，向符合条件的职工发放用于购买住房的补贴。</w:t>
      </w:r>
    </w:p>
    <w:sectPr>
      <w:headerReference r:id="rId3" w:type="default"/>
      <w:footerReference r:id="rId4" w:type="default"/>
      <w:pgSz w:w="11906" w:h="16838"/>
      <w:pgMar w:top="1440" w:right="1800" w:bottom="1440" w:left="11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4E5735"/>
    <w:rsid w:val="010B5EEE"/>
    <w:rsid w:val="0117300A"/>
    <w:rsid w:val="039972CB"/>
    <w:rsid w:val="03B33117"/>
    <w:rsid w:val="049B2280"/>
    <w:rsid w:val="07FE6E25"/>
    <w:rsid w:val="08FE53A9"/>
    <w:rsid w:val="09770C19"/>
    <w:rsid w:val="09EB2AF5"/>
    <w:rsid w:val="0A4674F4"/>
    <w:rsid w:val="0ABC53CC"/>
    <w:rsid w:val="0AF66A7C"/>
    <w:rsid w:val="0C4B6EBD"/>
    <w:rsid w:val="0DA226A1"/>
    <w:rsid w:val="0DB77D1E"/>
    <w:rsid w:val="0E0241B4"/>
    <w:rsid w:val="0E121B2F"/>
    <w:rsid w:val="0EE51462"/>
    <w:rsid w:val="10051086"/>
    <w:rsid w:val="10090CC1"/>
    <w:rsid w:val="1036333C"/>
    <w:rsid w:val="10A234E0"/>
    <w:rsid w:val="112F4147"/>
    <w:rsid w:val="12315E7C"/>
    <w:rsid w:val="127C286A"/>
    <w:rsid w:val="135B75E3"/>
    <w:rsid w:val="13654321"/>
    <w:rsid w:val="13867DAF"/>
    <w:rsid w:val="140738A5"/>
    <w:rsid w:val="15056C3E"/>
    <w:rsid w:val="153366AC"/>
    <w:rsid w:val="16213BDD"/>
    <w:rsid w:val="16596B00"/>
    <w:rsid w:val="17C37EC4"/>
    <w:rsid w:val="180E7C6A"/>
    <w:rsid w:val="189A2CE7"/>
    <w:rsid w:val="192C2301"/>
    <w:rsid w:val="19C65DFA"/>
    <w:rsid w:val="1AC4373D"/>
    <w:rsid w:val="1C704B4A"/>
    <w:rsid w:val="1CCE2330"/>
    <w:rsid w:val="1D1417A2"/>
    <w:rsid w:val="20DE7683"/>
    <w:rsid w:val="213B63B1"/>
    <w:rsid w:val="21A355C0"/>
    <w:rsid w:val="21EB44BA"/>
    <w:rsid w:val="22215FEC"/>
    <w:rsid w:val="22906554"/>
    <w:rsid w:val="22BB77BF"/>
    <w:rsid w:val="26A65F9C"/>
    <w:rsid w:val="2867275E"/>
    <w:rsid w:val="292973C3"/>
    <w:rsid w:val="29807378"/>
    <w:rsid w:val="2A7444C6"/>
    <w:rsid w:val="2AF15FD0"/>
    <w:rsid w:val="2C9504BB"/>
    <w:rsid w:val="2DB76AE7"/>
    <w:rsid w:val="2E964C51"/>
    <w:rsid w:val="2EDB7F84"/>
    <w:rsid w:val="2F91791F"/>
    <w:rsid w:val="304578E1"/>
    <w:rsid w:val="304926F0"/>
    <w:rsid w:val="310F6DAE"/>
    <w:rsid w:val="316C643E"/>
    <w:rsid w:val="31873C70"/>
    <w:rsid w:val="31EB6CF2"/>
    <w:rsid w:val="328146BC"/>
    <w:rsid w:val="339424B3"/>
    <w:rsid w:val="35315B20"/>
    <w:rsid w:val="35730C0D"/>
    <w:rsid w:val="36073ECE"/>
    <w:rsid w:val="367720EA"/>
    <w:rsid w:val="3729614E"/>
    <w:rsid w:val="37632327"/>
    <w:rsid w:val="37D67ED4"/>
    <w:rsid w:val="37F65367"/>
    <w:rsid w:val="37F75275"/>
    <w:rsid w:val="381354D9"/>
    <w:rsid w:val="38E21C49"/>
    <w:rsid w:val="38F52A05"/>
    <w:rsid w:val="3E0C2673"/>
    <w:rsid w:val="3EE9342D"/>
    <w:rsid w:val="3FD0663A"/>
    <w:rsid w:val="406026CA"/>
    <w:rsid w:val="406D7BA4"/>
    <w:rsid w:val="42A802F9"/>
    <w:rsid w:val="42D03033"/>
    <w:rsid w:val="42E745F7"/>
    <w:rsid w:val="42FF40B8"/>
    <w:rsid w:val="4474761F"/>
    <w:rsid w:val="44755F65"/>
    <w:rsid w:val="450308C9"/>
    <w:rsid w:val="465C3EB2"/>
    <w:rsid w:val="468523C7"/>
    <w:rsid w:val="470E30FB"/>
    <w:rsid w:val="47A27234"/>
    <w:rsid w:val="48140D2D"/>
    <w:rsid w:val="49362709"/>
    <w:rsid w:val="4AF54342"/>
    <w:rsid w:val="4B9135B8"/>
    <w:rsid w:val="4C060721"/>
    <w:rsid w:val="4CAD7A39"/>
    <w:rsid w:val="4D376C17"/>
    <w:rsid w:val="4EC6637F"/>
    <w:rsid w:val="4F61489D"/>
    <w:rsid w:val="4F8D63BF"/>
    <w:rsid w:val="4FEF0955"/>
    <w:rsid w:val="50516B1D"/>
    <w:rsid w:val="50523EE4"/>
    <w:rsid w:val="50BC1E58"/>
    <w:rsid w:val="50D86E7F"/>
    <w:rsid w:val="517A271B"/>
    <w:rsid w:val="54797E82"/>
    <w:rsid w:val="54D31E6C"/>
    <w:rsid w:val="55F944F8"/>
    <w:rsid w:val="5605035C"/>
    <w:rsid w:val="56C23703"/>
    <w:rsid w:val="57B70A1D"/>
    <w:rsid w:val="57E643FB"/>
    <w:rsid w:val="584A28E4"/>
    <w:rsid w:val="593F65EF"/>
    <w:rsid w:val="595E2715"/>
    <w:rsid w:val="5BAE042C"/>
    <w:rsid w:val="5D4301CC"/>
    <w:rsid w:val="5DBD0F59"/>
    <w:rsid w:val="5DDC3389"/>
    <w:rsid w:val="5E0A0B2E"/>
    <w:rsid w:val="5E1174FD"/>
    <w:rsid w:val="5E930354"/>
    <w:rsid w:val="5F126564"/>
    <w:rsid w:val="5F5F38A1"/>
    <w:rsid w:val="600D4853"/>
    <w:rsid w:val="607D337D"/>
    <w:rsid w:val="6098521A"/>
    <w:rsid w:val="60D63E54"/>
    <w:rsid w:val="626E13D1"/>
    <w:rsid w:val="630E6031"/>
    <w:rsid w:val="6374226D"/>
    <w:rsid w:val="637B7546"/>
    <w:rsid w:val="66037CB4"/>
    <w:rsid w:val="664E5735"/>
    <w:rsid w:val="66867C71"/>
    <w:rsid w:val="674657D4"/>
    <w:rsid w:val="67A705B0"/>
    <w:rsid w:val="69BB5B36"/>
    <w:rsid w:val="6B6771A4"/>
    <w:rsid w:val="6BE31617"/>
    <w:rsid w:val="6E3C6392"/>
    <w:rsid w:val="6E4A0C22"/>
    <w:rsid w:val="6EA703F4"/>
    <w:rsid w:val="6FDA785C"/>
    <w:rsid w:val="70195D98"/>
    <w:rsid w:val="706E3AA4"/>
    <w:rsid w:val="70CD40D0"/>
    <w:rsid w:val="717D3856"/>
    <w:rsid w:val="724618A7"/>
    <w:rsid w:val="74AF6142"/>
    <w:rsid w:val="75080220"/>
    <w:rsid w:val="752B7940"/>
    <w:rsid w:val="754A4471"/>
    <w:rsid w:val="75F6689A"/>
    <w:rsid w:val="767F2D24"/>
    <w:rsid w:val="76D0611A"/>
    <w:rsid w:val="77290AF1"/>
    <w:rsid w:val="77860C95"/>
    <w:rsid w:val="780F10BB"/>
    <w:rsid w:val="78961742"/>
    <w:rsid w:val="78FA28E2"/>
    <w:rsid w:val="7A947F22"/>
    <w:rsid w:val="7B153031"/>
    <w:rsid w:val="7B2942E0"/>
    <w:rsid w:val="7B7754A3"/>
    <w:rsid w:val="7B974BF4"/>
    <w:rsid w:val="7C59394B"/>
    <w:rsid w:val="7CCD438D"/>
    <w:rsid w:val="7DC173AD"/>
    <w:rsid w:val="7FD23FD9"/>
    <w:rsid w:val="7FFC3E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FollowedHyperlink"/>
    <w:basedOn w:val="5"/>
    <w:qFormat/>
    <w:uiPriority w:val="0"/>
    <w:rPr>
      <w:color w:val="333333"/>
      <w:u w:val="none"/>
    </w:rPr>
  </w:style>
  <w:style w:type="paragraph" w:customStyle="1" w:styleId="8">
    <w:name w:val="_Style 2"/>
    <w:qFormat/>
    <w:uiPriority w:val="1"/>
    <w:rPr>
      <w:rFonts w:ascii="Calibri" w:hAnsi="Calibri" w:eastAsiaTheme="minorEastAsia" w:cstheme="minorBidi"/>
      <w:sz w:val="22"/>
      <w:szCs w:val="22"/>
      <w:lang w:val="en-US" w:eastAsia="zh-CN" w:bidi="ar-SA"/>
    </w:rPr>
  </w:style>
  <w:style w:type="character" w:customStyle="1" w:styleId="9">
    <w:name w:val="bds_more"/>
    <w:basedOn w:val="5"/>
    <w:qFormat/>
    <w:uiPriority w:val="0"/>
  </w:style>
  <w:style w:type="character" w:customStyle="1" w:styleId="10">
    <w:name w:val="bds_more1"/>
    <w:basedOn w:val="5"/>
    <w:qFormat/>
    <w:uiPriority w:val="0"/>
    <w:rPr>
      <w:rFonts w:hint="eastAsia" w:ascii="宋体" w:hAnsi="宋体" w:eastAsia="宋体" w:cs="宋体"/>
    </w:rPr>
  </w:style>
  <w:style w:type="character" w:customStyle="1" w:styleId="11">
    <w:name w:val="bds_more2"/>
    <w:basedOn w:val="5"/>
    <w:qFormat/>
    <w:uiPriority w:val="0"/>
  </w:style>
  <w:style w:type="character" w:customStyle="1" w:styleId="12">
    <w:name w:val="bds_nopic"/>
    <w:basedOn w:val="5"/>
    <w:qFormat/>
    <w:uiPriority w:val="0"/>
  </w:style>
  <w:style w:type="character" w:customStyle="1" w:styleId="13">
    <w:name w:val="bds_nopic1"/>
    <w:basedOn w:val="5"/>
    <w:qFormat/>
    <w:uiPriority w:val="0"/>
  </w:style>
  <w:style w:type="character" w:customStyle="1" w:styleId="14">
    <w:name w:val="bds_nopic2"/>
    <w:basedOn w:val="5"/>
    <w:qFormat/>
    <w:uiPriority w:val="0"/>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2016-08-30T08:39:00Z</dcterms:created>
  <dc:creator>fxcz</dc:creator>
  <cp:lastModifiedBy>Administrator</cp:lastModifiedBy>
  <cp:lastPrinted>2018-08-30T01:31:00Z</cp:lastPrinted>
  <dcterms:modified xsi:type="dcterms:W3CDTF">2019-01-29T09:28:57Z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