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tblpY="-495"/>
        <w:tblW w:w="8537" w:type="dxa"/>
        <w:tblInd w:w="0" w:type="dxa"/>
        <w:tblLayout w:type="fixed"/>
        <w:tblCellMar>
          <w:top w:w="0" w:type="dxa"/>
          <w:left w:w="108" w:type="dxa"/>
          <w:bottom w:w="0" w:type="dxa"/>
          <w:right w:w="108" w:type="dxa"/>
        </w:tblCellMar>
      </w:tblPr>
      <w:tblGrid>
        <w:gridCol w:w="8537"/>
      </w:tblGrid>
      <w:tr>
        <w:tblPrEx>
          <w:tblLayout w:type="fixed"/>
          <w:tblCellMar>
            <w:top w:w="0" w:type="dxa"/>
            <w:left w:w="108" w:type="dxa"/>
            <w:bottom w:w="0" w:type="dxa"/>
            <w:right w:w="108" w:type="dxa"/>
          </w:tblCellMar>
        </w:tblPrEx>
        <w:trPr>
          <w:trHeight w:val="3043" w:hRule="atLeast"/>
        </w:trPr>
        <w:tc>
          <w:tcPr>
            <w:tcW w:w="8537" w:type="dxa"/>
            <w:vAlign w:val="top"/>
          </w:tcPr>
          <w:p>
            <w:pPr>
              <w:pStyle w:val="8"/>
              <w:rPr>
                <w:rFonts w:ascii="黑体" w:hAnsi="黑体" w:eastAsia="黑体"/>
                <w:caps/>
                <w:sz w:val="32"/>
                <w:szCs w:val="32"/>
              </w:rPr>
            </w:pPr>
            <w:r>
              <w:rPr>
                <w:rFonts w:hint="eastAsia" w:ascii="黑体" w:hAnsi="黑体" w:eastAsia="黑体"/>
                <w:caps/>
                <w:sz w:val="32"/>
                <w:szCs w:val="32"/>
              </w:rPr>
              <w:t>附件:</w:t>
            </w:r>
          </w:p>
        </w:tc>
      </w:tr>
      <w:tr>
        <w:tblPrEx>
          <w:tblLayout w:type="fixed"/>
          <w:tblCellMar>
            <w:top w:w="0" w:type="dxa"/>
            <w:left w:w="108" w:type="dxa"/>
            <w:bottom w:w="0" w:type="dxa"/>
            <w:right w:w="108" w:type="dxa"/>
          </w:tblCellMar>
        </w:tblPrEx>
        <w:trPr>
          <w:trHeight w:val="1521" w:hRule="atLeast"/>
        </w:trPr>
        <w:tc>
          <w:tcPr>
            <w:tcW w:w="8537" w:type="dxa"/>
            <w:tcBorders>
              <w:bottom w:val="single" w:color="4F81BD" w:sz="4" w:space="0"/>
            </w:tcBorders>
            <w:vAlign w:val="center"/>
          </w:tcPr>
          <w:p>
            <w:pPr>
              <w:pStyle w:val="8"/>
              <w:jc w:val="center"/>
              <w:rPr>
                <w:rFonts w:ascii="Cambria" w:hAnsi="Cambria"/>
                <w:sz w:val="80"/>
                <w:szCs w:val="80"/>
              </w:rPr>
            </w:pPr>
            <w:r>
              <w:rPr>
                <w:rFonts w:hint="eastAsia" w:ascii="Cambria" w:hAnsi="Cambria"/>
                <w:b/>
                <w:sz w:val="80"/>
                <w:szCs w:val="80"/>
              </w:rPr>
              <w:t>20</w:t>
            </w:r>
            <w:r>
              <w:rPr>
                <w:rFonts w:hint="eastAsia" w:ascii="Cambria" w:hAnsi="Cambria"/>
                <w:b/>
                <w:sz w:val="80"/>
                <w:szCs w:val="80"/>
                <w:lang w:val="en-US" w:eastAsia="zh-CN"/>
              </w:rPr>
              <w:t>16</w:t>
            </w:r>
            <w:r>
              <w:rPr>
                <w:rFonts w:hint="eastAsia" w:ascii="Cambria" w:hAnsi="Cambria"/>
                <w:b/>
                <w:sz w:val="80"/>
                <w:szCs w:val="80"/>
              </w:rPr>
              <w:t>年部门决算</w:t>
            </w:r>
          </w:p>
        </w:tc>
      </w:tr>
      <w:tr>
        <w:tblPrEx>
          <w:tblLayout w:type="fixed"/>
          <w:tblCellMar>
            <w:top w:w="0" w:type="dxa"/>
            <w:left w:w="108" w:type="dxa"/>
            <w:bottom w:w="0" w:type="dxa"/>
            <w:right w:w="108" w:type="dxa"/>
          </w:tblCellMar>
        </w:tblPrEx>
        <w:trPr>
          <w:trHeight w:val="761" w:hRule="atLeast"/>
        </w:trPr>
        <w:tc>
          <w:tcPr>
            <w:tcW w:w="8537" w:type="dxa"/>
            <w:tcBorders>
              <w:top w:val="single" w:color="4F81BD" w:sz="4" w:space="0"/>
            </w:tcBorders>
            <w:vAlign w:val="center"/>
          </w:tcPr>
          <w:p>
            <w:pPr>
              <w:pStyle w:val="8"/>
              <w:jc w:val="center"/>
              <w:rPr>
                <w:rFonts w:ascii="Cambria" w:hAnsi="Cambria"/>
                <w:sz w:val="44"/>
                <w:szCs w:val="44"/>
              </w:rPr>
            </w:pPr>
          </w:p>
        </w:tc>
      </w:tr>
      <w:tr>
        <w:tblPrEx>
          <w:tblLayout w:type="fixed"/>
          <w:tblCellMar>
            <w:top w:w="0" w:type="dxa"/>
            <w:left w:w="108" w:type="dxa"/>
            <w:bottom w:w="0" w:type="dxa"/>
            <w:right w:w="108" w:type="dxa"/>
          </w:tblCellMar>
        </w:tblPrEx>
        <w:trPr>
          <w:trHeight w:val="380" w:hRule="atLeast"/>
        </w:trPr>
        <w:tc>
          <w:tcPr>
            <w:tcW w:w="8537" w:type="dxa"/>
            <w:vAlign w:val="center"/>
          </w:tcPr>
          <w:p>
            <w:pPr>
              <w:pStyle w:val="8"/>
              <w:jc w:val="center"/>
              <w:rPr>
                <w:rFonts w:hint="eastAsia"/>
              </w:rPr>
            </w:pPr>
          </w:p>
          <w:p>
            <w:pPr>
              <w:pStyle w:val="8"/>
              <w:jc w:val="center"/>
              <w:rPr>
                <w:rFonts w:hint="eastAsia"/>
              </w:rPr>
            </w:pPr>
          </w:p>
          <w:p>
            <w:pPr>
              <w:pStyle w:val="8"/>
              <w:jc w:val="center"/>
              <w:rPr>
                <w:rFonts w:hint="eastAsia"/>
              </w:rPr>
            </w:pPr>
          </w:p>
          <w:p>
            <w:pPr>
              <w:pStyle w:val="8"/>
              <w:jc w:val="center"/>
              <w:rPr>
                <w:rFonts w:hint="eastAsia"/>
              </w:rPr>
            </w:pPr>
          </w:p>
          <w:p>
            <w:pPr>
              <w:pStyle w:val="8"/>
              <w:jc w:val="center"/>
            </w:pPr>
          </w:p>
        </w:tc>
      </w:tr>
      <w:tr>
        <w:tblPrEx>
          <w:tblLayout w:type="fixed"/>
          <w:tblCellMar>
            <w:top w:w="0" w:type="dxa"/>
            <w:left w:w="108" w:type="dxa"/>
            <w:bottom w:w="0" w:type="dxa"/>
            <w:right w:w="108" w:type="dxa"/>
          </w:tblCellMar>
        </w:tblPrEx>
        <w:trPr>
          <w:trHeight w:val="1513" w:hRule="atLeast"/>
        </w:trPr>
        <w:tc>
          <w:tcPr>
            <w:tcW w:w="8537" w:type="dxa"/>
            <w:vAlign w:val="center"/>
          </w:tcPr>
          <w:p>
            <w:pPr>
              <w:pStyle w:val="8"/>
              <w:rPr>
                <w:b/>
                <w:bCs/>
              </w:rPr>
            </w:pPr>
            <w:r>
              <w:rPr>
                <w:rFonts w:hint="eastAsia"/>
                <w:b/>
                <w:bCs/>
                <w:sz w:val="32"/>
                <w:szCs w:val="32"/>
              </w:rPr>
              <w:t xml:space="preserve">           单位公章：</w:t>
            </w:r>
            <w:r>
              <w:rPr>
                <w:rFonts w:hint="eastAsia"/>
                <w:b/>
                <w:bCs/>
                <w:sz w:val="32"/>
                <w:szCs w:val="32"/>
                <w:lang w:eastAsia="zh-CN"/>
              </w:rPr>
              <w:t>奉新县交通运输局</w:t>
            </w:r>
          </w:p>
        </w:tc>
      </w:tr>
      <w:tr>
        <w:tblPrEx>
          <w:tblLayout w:type="fixed"/>
          <w:tblCellMar>
            <w:top w:w="0" w:type="dxa"/>
            <w:left w:w="108" w:type="dxa"/>
            <w:bottom w:w="0" w:type="dxa"/>
            <w:right w:w="108" w:type="dxa"/>
          </w:tblCellMar>
        </w:tblPrEx>
        <w:trPr>
          <w:trHeight w:val="380" w:hRule="atLeast"/>
        </w:trPr>
        <w:tc>
          <w:tcPr>
            <w:tcW w:w="8537" w:type="dxa"/>
            <w:vAlign w:val="center"/>
          </w:tcPr>
          <w:p>
            <w:pPr>
              <w:pStyle w:val="8"/>
              <w:rPr>
                <w:b/>
                <w:bCs/>
                <w:sz w:val="32"/>
                <w:szCs w:val="32"/>
              </w:rPr>
            </w:pPr>
            <w:r>
              <w:rPr>
                <w:rFonts w:hint="eastAsia"/>
                <w:b/>
                <w:bCs/>
                <w:sz w:val="32"/>
                <w:szCs w:val="32"/>
              </w:rPr>
              <w:t xml:space="preserve">           报送日期：</w:t>
            </w:r>
          </w:p>
        </w:tc>
      </w:tr>
    </w:tbl>
    <w:p>
      <w:pPr>
        <w:rPr>
          <w:sz w:val="32"/>
          <w:szCs w:val="32"/>
        </w:rPr>
      </w:pPr>
    </w:p>
    <w:p/>
    <w:p/>
    <w:tbl>
      <w:tblPr>
        <w:tblStyle w:val="7"/>
        <w:tblpPr w:leftFromText="187" w:rightFromText="187" w:vertAnchor="page" w:horzAnchor="margin" w:tblpY="12961"/>
        <w:tblW w:w="8522" w:type="dxa"/>
        <w:tblInd w:w="0" w:type="dxa"/>
        <w:tblLayout w:type="fixed"/>
        <w:tblCellMar>
          <w:top w:w="0" w:type="dxa"/>
          <w:left w:w="108" w:type="dxa"/>
          <w:bottom w:w="0" w:type="dxa"/>
          <w:right w:w="108" w:type="dxa"/>
        </w:tblCellMar>
      </w:tblPr>
      <w:tblGrid>
        <w:gridCol w:w="8522"/>
      </w:tblGrid>
      <w:tr>
        <w:tblPrEx>
          <w:tblLayout w:type="fixed"/>
          <w:tblCellMar>
            <w:top w:w="0" w:type="dxa"/>
            <w:left w:w="108" w:type="dxa"/>
            <w:bottom w:w="0" w:type="dxa"/>
            <w:right w:w="108" w:type="dxa"/>
          </w:tblCellMar>
        </w:tblPrEx>
        <w:trPr>
          <w:trHeight w:val="80" w:hRule="atLeast"/>
        </w:trPr>
        <w:tc>
          <w:tcPr>
            <w:tcW w:w="8522" w:type="dxa"/>
            <w:vAlign w:val="top"/>
          </w:tcPr>
          <w:p>
            <w:pPr>
              <w:pStyle w:val="8"/>
              <w:rPr>
                <w:rFonts w:hint="eastAsia" w:ascii="宋体" w:hAnsi="宋体"/>
                <w:b/>
                <w:sz w:val="32"/>
                <w:szCs w:val="32"/>
              </w:rPr>
            </w:pPr>
            <w:r>
              <w:rPr>
                <w:rFonts w:hint="eastAsia" w:ascii="宋体" w:hAnsi="宋体"/>
                <w:b/>
                <w:sz w:val="32"/>
                <w:szCs w:val="32"/>
              </w:rPr>
              <w:t xml:space="preserve">单位负责人（签章）：    </w:t>
            </w:r>
          </w:p>
          <w:p>
            <w:pPr>
              <w:pStyle w:val="8"/>
              <w:rPr>
                <w:rFonts w:hint="eastAsia" w:ascii="宋体" w:hAnsi="宋体"/>
                <w:b/>
                <w:sz w:val="32"/>
                <w:szCs w:val="32"/>
              </w:rPr>
            </w:pPr>
            <w:r>
              <w:rPr>
                <w:rFonts w:hint="eastAsia" w:ascii="宋体" w:hAnsi="宋体"/>
                <w:b/>
                <w:sz w:val="32"/>
                <w:szCs w:val="32"/>
              </w:rPr>
              <w:t xml:space="preserve"> </w:t>
            </w:r>
          </w:p>
          <w:p>
            <w:pPr>
              <w:pStyle w:val="8"/>
              <w:rPr>
                <w:sz w:val="32"/>
                <w:szCs w:val="32"/>
              </w:rPr>
            </w:pPr>
            <w:r>
              <w:rPr>
                <w:rFonts w:hint="eastAsia" w:ascii="宋体" w:hAnsi="宋体"/>
                <w:b/>
                <w:sz w:val="32"/>
                <w:szCs w:val="32"/>
              </w:rPr>
              <w:t>财务负责人（签章）：          经办人（签章）：</w:t>
            </w:r>
          </w:p>
        </w:tc>
      </w:tr>
    </w:tbl>
    <w:p>
      <w:pPr>
        <w:spacing w:line="600" w:lineRule="exact"/>
        <w:jc w:val="center"/>
        <w:rPr>
          <w:rFonts w:hint="eastAsia" w:ascii="黑体" w:eastAsia="黑体"/>
          <w:sz w:val="44"/>
          <w:szCs w:val="36"/>
        </w:rPr>
      </w:pPr>
      <w:r>
        <w:rPr>
          <w:rFonts w:ascii="仿宋" w:hAnsi="仿宋" w:eastAsia="仿宋"/>
          <w:sz w:val="32"/>
          <w:szCs w:val="32"/>
        </w:rPr>
        <w:br w:type="page"/>
      </w:r>
      <w:r>
        <w:rPr>
          <w:rFonts w:hint="eastAsia" w:ascii="黑体" w:hAnsi="黑体" w:eastAsia="黑体" w:cs="黑体"/>
          <w:sz w:val="44"/>
          <w:szCs w:val="44"/>
          <w:lang w:eastAsia="zh-CN"/>
        </w:rPr>
        <w:t>奉新县交通运输局</w:t>
      </w:r>
      <w:r>
        <w:rPr>
          <w:rFonts w:hint="eastAsia" w:ascii="黑体" w:eastAsia="黑体"/>
          <w:sz w:val="44"/>
          <w:szCs w:val="36"/>
        </w:rPr>
        <w:t>201</w:t>
      </w:r>
      <w:r>
        <w:rPr>
          <w:rFonts w:hint="eastAsia" w:ascii="黑体" w:eastAsia="黑体"/>
          <w:sz w:val="44"/>
          <w:szCs w:val="36"/>
          <w:lang w:val="en-US" w:eastAsia="zh-CN"/>
        </w:rPr>
        <w:t>6</w:t>
      </w:r>
      <w:r>
        <w:rPr>
          <w:rFonts w:hint="eastAsia" w:ascii="黑体" w:eastAsia="黑体"/>
          <w:sz w:val="44"/>
          <w:szCs w:val="36"/>
        </w:rPr>
        <w:t>年部门决算</w:t>
      </w:r>
    </w:p>
    <w:p>
      <w:pPr>
        <w:spacing w:line="600" w:lineRule="exact"/>
        <w:jc w:val="center"/>
        <w:rPr>
          <w:rFonts w:hint="eastAsia" w:ascii="黑体" w:eastAsia="黑体"/>
          <w:sz w:val="44"/>
          <w:szCs w:val="36"/>
        </w:rPr>
      </w:pP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hAnsi="仿宋_GB2312" w:eastAsia="仿宋_GB2312" w:cs="仿宋_GB2312"/>
          <w:b/>
          <w:sz w:val="32"/>
          <w:szCs w:val="32"/>
        </w:rPr>
      </w:pPr>
      <w:r>
        <w:rPr>
          <w:rFonts w:hint="eastAsia" w:ascii="黑体" w:hAnsi="黑体" w:eastAsia="黑体"/>
          <w:b/>
          <w:sz w:val="32"/>
          <w:szCs w:val="32"/>
        </w:rPr>
        <w:t xml:space="preserve">第一部分  </w:t>
      </w:r>
      <w:r>
        <w:rPr>
          <w:rFonts w:hint="eastAsia" w:ascii="黑体" w:hAnsi="黑体" w:eastAsia="黑体"/>
          <w:b/>
          <w:sz w:val="32"/>
          <w:szCs w:val="32"/>
          <w:lang w:eastAsia="zh-CN"/>
        </w:rPr>
        <w:t>奉新县</w:t>
      </w:r>
      <w:r>
        <w:rPr>
          <w:rFonts w:hint="eastAsia" w:ascii="仿宋_GB2312" w:hAnsi="仿宋_GB2312" w:eastAsia="仿宋_GB2312" w:cs="仿宋_GB2312"/>
          <w:b/>
          <w:bCs/>
          <w:sz w:val="32"/>
          <w:szCs w:val="32"/>
          <w:lang w:eastAsia="zh-CN"/>
        </w:rPr>
        <w:t>交通运输局</w:t>
      </w:r>
      <w:r>
        <w:rPr>
          <w:rFonts w:hint="eastAsia" w:ascii="仿宋_GB2312" w:hAnsi="仿宋_GB2312" w:eastAsia="仿宋_GB2312" w:cs="仿宋_GB2312"/>
          <w:b/>
          <w:bCs/>
          <w:sz w:val="32"/>
          <w:szCs w:val="32"/>
        </w:rPr>
        <w:t>概况</w:t>
      </w:r>
    </w:p>
    <w:p>
      <w:pPr>
        <w:widowControl/>
        <w:spacing w:line="600" w:lineRule="exact"/>
        <w:ind w:firstLine="640"/>
        <w:jc w:val="left"/>
        <w:rPr>
          <w:rFonts w:hint="eastAsia" w:ascii="仿宋_GB2312" w:hAnsi="仿宋_GB2312" w:eastAsia="仿宋_GB2312" w:cs="仿宋_GB2312"/>
          <w:sz w:val="32"/>
          <w:szCs w:val="30"/>
        </w:rPr>
      </w:pPr>
      <w:r>
        <w:rPr>
          <w:rFonts w:hint="eastAsia" w:ascii="仿宋_GB2312" w:hAnsi="仿宋_GB2312" w:eastAsia="仿宋_GB2312" w:cs="仿宋_GB2312"/>
          <w:b/>
          <w:sz w:val="32"/>
          <w:szCs w:val="30"/>
        </w:rPr>
        <w:t xml:space="preserve">    </w:t>
      </w:r>
      <w:r>
        <w:rPr>
          <w:rFonts w:hint="eastAsia" w:ascii="仿宋_GB2312" w:hAnsi="仿宋_GB2312" w:eastAsia="仿宋_GB2312" w:cs="仿宋_GB2312"/>
          <w:sz w:val="32"/>
          <w:szCs w:val="30"/>
        </w:rPr>
        <w:t>一、部门主要职能</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二、部门</w:t>
      </w:r>
      <w:r>
        <w:rPr>
          <w:rFonts w:hint="eastAsia" w:ascii="仿宋_GB2312" w:hAnsi="仿宋_GB2312" w:eastAsia="仿宋_GB2312" w:cs="仿宋_GB2312"/>
          <w:kern w:val="0"/>
          <w:sz w:val="32"/>
          <w:szCs w:val="32"/>
          <w:lang w:eastAsia="zh-CN"/>
        </w:rPr>
        <w:t>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 xml:space="preserve">第二部分 </w:t>
      </w:r>
      <w:r>
        <w:rPr>
          <w:rFonts w:hint="eastAsia" w:ascii="黑体" w:hAnsi="黑体" w:eastAsia="黑体"/>
          <w:sz w:val="32"/>
          <w:szCs w:val="32"/>
          <w:lang w:eastAsia="zh-CN"/>
        </w:rPr>
        <w:t>奉新县交通运输局</w:t>
      </w:r>
      <w:r>
        <w:rPr>
          <w:rFonts w:hint="eastAsia" w:ascii="黑体" w:hAnsi="黑体" w:eastAsia="黑体"/>
          <w:sz w:val="32"/>
          <w:szCs w:val="32"/>
        </w:rPr>
        <w:t>201</w:t>
      </w:r>
      <w:r>
        <w:rPr>
          <w:rFonts w:hint="eastAsia" w:ascii="黑体" w:hAnsi="黑体" w:eastAsia="黑体"/>
          <w:sz w:val="32"/>
          <w:szCs w:val="32"/>
          <w:lang w:val="en-US" w:eastAsia="zh-CN"/>
        </w:rPr>
        <w:t>6</w:t>
      </w:r>
      <w:r>
        <w:rPr>
          <w:rFonts w:hint="eastAsia" w:ascii="黑体" w:hAnsi="黑体" w:eastAsia="黑体"/>
          <w:sz w:val="32"/>
          <w:szCs w:val="32"/>
        </w:rPr>
        <w:t>年部门决算情况说明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一、收入决算情况说明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二、支出决算情况说明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三、财政拨款支出决算</w:t>
      </w:r>
      <w:r>
        <w:rPr>
          <w:rFonts w:hint="eastAsia" w:ascii="仿宋_GB2312" w:hAnsi="仿宋_GB2312" w:eastAsia="仿宋_GB2312" w:cs="仿宋_GB2312"/>
          <w:sz w:val="32"/>
          <w:szCs w:val="30"/>
          <w:lang w:eastAsia="zh-CN"/>
        </w:rPr>
        <w:t>情况</w:t>
      </w:r>
      <w:r>
        <w:rPr>
          <w:rFonts w:hint="eastAsia" w:ascii="仿宋_GB2312" w:hAnsi="仿宋_GB2312" w:eastAsia="仿宋_GB2312" w:cs="仿宋_GB2312"/>
          <w:sz w:val="32"/>
          <w:szCs w:val="30"/>
        </w:rPr>
        <w:t>说明</w:t>
      </w:r>
    </w:p>
    <w:p>
      <w:pPr>
        <w:widowControl/>
        <w:spacing w:line="600" w:lineRule="exact"/>
        <w:ind w:firstLine="1292" w:firstLineChars="404"/>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四、</w:t>
      </w:r>
      <w:r>
        <w:rPr>
          <w:rFonts w:hint="eastAsia" w:ascii="仿宋_GB2312" w:hAnsi="仿宋_GB2312" w:eastAsia="仿宋_GB2312" w:cs="仿宋_GB2312"/>
          <w:sz w:val="32"/>
          <w:szCs w:val="30"/>
          <w:lang w:eastAsia="zh-CN"/>
        </w:rPr>
        <w:t>一般公共预算财政拨款</w:t>
      </w:r>
      <w:r>
        <w:rPr>
          <w:rFonts w:hint="eastAsia" w:ascii="仿宋_GB2312" w:hAnsi="仿宋_GB2312" w:eastAsia="仿宋_GB2312" w:cs="仿宋_GB2312"/>
          <w:sz w:val="32"/>
          <w:szCs w:val="30"/>
        </w:rPr>
        <w:t>“三公”经费支出</w:t>
      </w:r>
      <w:r>
        <w:rPr>
          <w:rFonts w:hint="eastAsia" w:ascii="仿宋_GB2312" w:hAnsi="仿宋_GB2312" w:eastAsia="仿宋_GB2312" w:cs="仿宋_GB2312"/>
          <w:sz w:val="32"/>
          <w:szCs w:val="30"/>
          <w:lang w:eastAsia="zh-CN"/>
        </w:rPr>
        <w:t>决算</w:t>
      </w:r>
      <w:r>
        <w:rPr>
          <w:rFonts w:hint="eastAsia" w:ascii="仿宋_GB2312" w:hAnsi="仿宋_GB2312" w:eastAsia="仿宋_GB2312" w:cs="仿宋_GB2312"/>
          <w:sz w:val="32"/>
          <w:szCs w:val="30"/>
        </w:rPr>
        <w:t>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五、机关运行经费情况说明</w:t>
      </w:r>
    </w:p>
    <w:p>
      <w:pPr>
        <w:widowControl/>
        <w:spacing w:line="600" w:lineRule="exact"/>
        <w:ind w:firstLine="640"/>
        <w:jc w:val="left"/>
        <w:rPr>
          <w:rFonts w:hint="eastAsia" w:ascii="仿宋_GB2312" w:hAnsi="仿宋_GB2312" w:eastAsia="仿宋_GB2312" w:cs="仿宋_GB2312"/>
          <w:sz w:val="32"/>
          <w:szCs w:val="30"/>
          <w:lang w:val="en-US" w:eastAsia="zh-CN"/>
        </w:rPr>
      </w:pPr>
      <w:r>
        <w:rPr>
          <w:rFonts w:hint="eastAsia" w:ascii="仿宋_GB2312" w:hAnsi="仿宋_GB2312" w:eastAsia="仿宋_GB2312" w:cs="仿宋_GB2312"/>
          <w:sz w:val="32"/>
          <w:szCs w:val="30"/>
        </w:rPr>
        <w:t xml:space="preserve"> </w:t>
      </w:r>
      <w:r>
        <w:rPr>
          <w:rFonts w:hint="eastAsia" w:ascii="仿宋_GB2312" w:hAnsi="仿宋_GB2312" w:eastAsia="仿宋_GB2312" w:cs="仿宋_GB2312"/>
          <w:sz w:val="32"/>
          <w:szCs w:val="30"/>
          <w:lang w:val="en-US" w:eastAsia="zh-CN"/>
        </w:rPr>
        <w:t xml:space="preserve">   六、政府采购支出情况说明</w:t>
      </w:r>
    </w:p>
    <w:p>
      <w:pPr>
        <w:widowControl/>
        <w:spacing w:line="600" w:lineRule="exact"/>
        <w:ind w:firstLine="640"/>
        <w:jc w:val="left"/>
        <w:rPr>
          <w:rFonts w:hint="eastAsia" w:ascii="仿宋_GB2312" w:hAnsi="仿宋_GB2312" w:eastAsia="仿宋_GB2312" w:cs="仿宋_GB2312"/>
          <w:sz w:val="32"/>
          <w:szCs w:val="30"/>
          <w:lang w:val="en-US" w:eastAsia="zh-CN"/>
        </w:rPr>
      </w:pPr>
      <w:r>
        <w:rPr>
          <w:rFonts w:hint="eastAsia" w:ascii="仿宋_GB2312" w:hAnsi="仿宋_GB2312" w:eastAsia="仿宋_GB2312" w:cs="仿宋_GB2312"/>
          <w:sz w:val="32"/>
          <w:szCs w:val="30"/>
          <w:lang w:val="en-US" w:eastAsia="zh-CN"/>
        </w:rPr>
        <w:t xml:space="preserve">    七、国有资产占用情况说明</w:t>
      </w:r>
    </w:p>
    <w:p>
      <w:pPr>
        <w:widowControl/>
        <w:spacing w:line="600" w:lineRule="exact"/>
        <w:ind w:firstLine="640"/>
        <w:jc w:val="left"/>
        <w:rPr>
          <w:rFonts w:hint="eastAsia" w:ascii="仿宋_GB2312" w:hAnsi="仿宋_GB2312" w:eastAsia="仿宋_GB2312" w:cs="仿宋_GB2312"/>
          <w:sz w:val="32"/>
          <w:szCs w:val="30"/>
          <w:lang w:val="en-US" w:eastAsia="zh-CN"/>
        </w:rPr>
      </w:pPr>
      <w:r>
        <w:rPr>
          <w:rFonts w:hint="eastAsia" w:ascii="仿宋_GB2312" w:hAnsi="仿宋_GB2312" w:eastAsia="仿宋_GB2312" w:cs="仿宋_GB2312"/>
          <w:sz w:val="32"/>
          <w:szCs w:val="30"/>
          <w:lang w:val="en-US" w:eastAsia="zh-CN"/>
        </w:rPr>
        <w:t xml:space="preserve">    八、预算绩效管理工作开展情况说明</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 xml:space="preserve">第三部分 </w:t>
      </w:r>
      <w:r>
        <w:rPr>
          <w:rFonts w:hint="eastAsia" w:ascii="黑体" w:hAnsi="黑体" w:eastAsia="黑体"/>
          <w:sz w:val="32"/>
          <w:szCs w:val="32"/>
          <w:lang w:eastAsia="zh-CN"/>
        </w:rPr>
        <w:t>奉新县交通运输局</w:t>
      </w:r>
      <w:r>
        <w:rPr>
          <w:rFonts w:hint="eastAsia" w:ascii="黑体" w:hAnsi="黑体" w:eastAsia="黑体"/>
          <w:sz w:val="32"/>
          <w:szCs w:val="32"/>
        </w:rPr>
        <w:t>201</w:t>
      </w:r>
      <w:r>
        <w:rPr>
          <w:rFonts w:hint="eastAsia" w:ascii="黑体" w:hAnsi="黑体" w:eastAsia="黑体"/>
          <w:sz w:val="32"/>
          <w:szCs w:val="32"/>
          <w:lang w:val="en-US" w:eastAsia="zh-CN"/>
        </w:rPr>
        <w:t>6</w:t>
      </w:r>
      <w:r>
        <w:rPr>
          <w:rFonts w:hint="eastAsia" w:ascii="黑体" w:hAnsi="黑体" w:eastAsia="黑体"/>
          <w:sz w:val="32"/>
          <w:szCs w:val="32"/>
        </w:rPr>
        <w:t>年部门决算表</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一、收入支出决算总表</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二、收入决算表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三、支出决算表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四、</w:t>
      </w:r>
      <w:r>
        <w:rPr>
          <w:rFonts w:hint="eastAsia" w:ascii="仿宋_GB2312" w:hAnsi="仿宋_GB2312" w:eastAsia="仿宋_GB2312" w:cs="仿宋_GB2312"/>
          <w:kern w:val="0"/>
          <w:sz w:val="32"/>
          <w:szCs w:val="32"/>
          <w:lang w:eastAsia="zh-CN"/>
        </w:rPr>
        <w:t>财政拨款收入支出决算总表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五、一般公共预算财政拨款支出决算表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六、一般公共预算财政拨款</w:t>
      </w:r>
      <w:r>
        <w:rPr>
          <w:rFonts w:hint="eastAsia" w:ascii="仿宋_GB2312" w:hAnsi="仿宋_GB2312" w:eastAsia="仿宋_GB2312" w:cs="仿宋_GB2312"/>
          <w:kern w:val="0"/>
          <w:sz w:val="32"/>
          <w:szCs w:val="32"/>
          <w:lang w:eastAsia="zh-CN"/>
        </w:rPr>
        <w:t>基本支出决算</w:t>
      </w:r>
      <w:r>
        <w:rPr>
          <w:rFonts w:hint="eastAsia" w:ascii="仿宋_GB2312" w:hAnsi="仿宋_GB2312" w:eastAsia="仿宋_GB2312" w:cs="仿宋_GB2312"/>
          <w:kern w:val="0"/>
          <w:sz w:val="32"/>
          <w:szCs w:val="32"/>
        </w:rPr>
        <w:t>表</w:t>
      </w:r>
    </w:p>
    <w:p>
      <w:pPr>
        <w:widowControl/>
        <w:spacing w:line="600" w:lineRule="exact"/>
        <w:ind w:firstLine="640"/>
        <w:jc w:val="left"/>
        <w:rPr>
          <w:rFonts w:hint="eastAsia" w:ascii="仿宋_GB2312" w:hAnsi="仿宋_GB2312" w:eastAsia="仿宋_GB2312" w:cs="仿宋_GB2312"/>
          <w:kern w:val="0"/>
          <w:sz w:val="32"/>
          <w:szCs w:val="32"/>
          <w:lang w:eastAsia="zh-CN"/>
        </w:rPr>
      </w:pPr>
      <w:r>
        <w:rPr>
          <w:rFonts w:hint="eastAsia" w:ascii="仿宋" w:hAnsi="仿宋" w:eastAsia="仿宋" w:cs="宋体"/>
          <w:kern w:val="0"/>
          <w:sz w:val="32"/>
          <w:szCs w:val="32"/>
        </w:rPr>
        <w:t xml:space="preserve">   </w:t>
      </w:r>
      <w:r>
        <w:rPr>
          <w:rFonts w:hint="eastAsia" w:ascii="仿宋_GB2312" w:hAnsi="仿宋_GB2312" w:eastAsia="仿宋_GB2312" w:cs="仿宋_GB2312"/>
          <w:kern w:val="0"/>
          <w:sz w:val="32"/>
          <w:szCs w:val="32"/>
        </w:rPr>
        <w:t xml:space="preserve"> 七、</w:t>
      </w:r>
      <w:r>
        <w:rPr>
          <w:rFonts w:hint="eastAsia" w:ascii="仿宋_GB2312" w:hAnsi="仿宋_GB2312" w:eastAsia="仿宋_GB2312" w:cs="仿宋_GB2312"/>
          <w:kern w:val="0"/>
          <w:sz w:val="32"/>
          <w:szCs w:val="32"/>
          <w:lang w:eastAsia="zh-CN"/>
        </w:rPr>
        <w:t>一般公共预算财政拨款</w:t>
      </w:r>
      <w:r>
        <w:rPr>
          <w:rFonts w:hint="eastAsia" w:ascii="仿宋_GB2312" w:hAnsi="仿宋_GB2312" w:eastAsia="仿宋_GB2312" w:cs="仿宋_GB2312"/>
          <w:kern w:val="0"/>
          <w:sz w:val="32"/>
          <w:szCs w:val="32"/>
          <w:lang w:val="en-US" w:eastAsia="zh-CN"/>
        </w:rPr>
        <w:t>”三公”经费支出</w:t>
      </w:r>
      <w:r>
        <w:rPr>
          <w:rFonts w:hint="eastAsia" w:ascii="仿宋_GB2312" w:hAnsi="仿宋_GB2312" w:eastAsia="仿宋_GB2312" w:cs="仿宋_GB2312"/>
          <w:kern w:val="0"/>
          <w:sz w:val="32"/>
          <w:szCs w:val="32"/>
          <w:lang w:eastAsia="zh-CN"/>
        </w:rPr>
        <w:t>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八、政府性基金预算财政拨款</w:t>
      </w:r>
      <w:r>
        <w:rPr>
          <w:rFonts w:hint="eastAsia" w:ascii="仿宋_GB2312" w:hAnsi="仿宋_GB2312" w:eastAsia="仿宋_GB2312" w:cs="仿宋_GB2312"/>
          <w:kern w:val="0"/>
          <w:sz w:val="32"/>
          <w:szCs w:val="32"/>
          <w:lang w:eastAsia="zh-CN"/>
        </w:rPr>
        <w:t>收入</w:t>
      </w:r>
      <w:r>
        <w:rPr>
          <w:rFonts w:hint="eastAsia" w:ascii="仿宋_GB2312" w:hAnsi="仿宋_GB2312" w:eastAsia="仿宋_GB2312" w:cs="仿宋_GB2312"/>
          <w:kern w:val="0"/>
          <w:sz w:val="32"/>
          <w:szCs w:val="32"/>
        </w:rPr>
        <w:t>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九、</w:t>
      </w:r>
      <w:r>
        <w:rPr>
          <w:rFonts w:hint="eastAsia" w:ascii="仿宋_GB2312" w:hAnsi="仿宋_GB2312" w:eastAsia="仿宋_GB2312" w:cs="仿宋_GB2312"/>
          <w:kern w:val="0"/>
          <w:sz w:val="32"/>
          <w:szCs w:val="32"/>
          <w:lang w:eastAsia="zh-CN"/>
        </w:rPr>
        <w:t>国有资产占用情况</w:t>
      </w:r>
      <w:r>
        <w:rPr>
          <w:rFonts w:hint="eastAsia" w:ascii="仿宋_GB2312" w:hAnsi="仿宋_GB2312" w:eastAsia="仿宋_GB2312" w:cs="仿宋_GB2312"/>
          <w:kern w:val="0"/>
          <w:sz w:val="32"/>
          <w:szCs w:val="32"/>
        </w:rPr>
        <w:t>表</w:t>
      </w:r>
    </w:p>
    <w:p>
      <w:pPr>
        <w:widowControl/>
        <w:spacing w:line="600" w:lineRule="exact"/>
        <w:ind w:firstLine="640"/>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eastAsia="zh-CN"/>
        </w:rPr>
        <w:t>第四部分</w:t>
      </w:r>
      <w:r>
        <w:rPr>
          <w:rFonts w:hint="eastAsia" w:ascii="黑体" w:hAnsi="黑体" w:eastAsia="黑体" w:cs="黑体"/>
          <w:kern w:val="0"/>
          <w:sz w:val="32"/>
          <w:szCs w:val="32"/>
          <w:lang w:val="en-US" w:eastAsia="zh-CN"/>
        </w:rPr>
        <w:t xml:space="preserve">  名词解释</w:t>
      </w:r>
    </w:p>
    <w:p>
      <w:pPr>
        <w:widowControl/>
        <w:spacing w:line="600" w:lineRule="exact"/>
        <w:ind w:firstLine="640"/>
        <w:jc w:val="left"/>
        <w:rPr>
          <w:rFonts w:hint="eastAsia" w:ascii="黑体" w:hAnsi="黑体" w:eastAsia="黑体" w:cs="黑体"/>
          <w:kern w:val="0"/>
          <w:sz w:val="32"/>
          <w:szCs w:val="32"/>
          <w:lang w:val="en-US" w:eastAsia="zh-CN"/>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0"/>
          <w:lang w:eastAsia="zh-CN"/>
        </w:rPr>
        <w:t>奉新县</w:t>
      </w:r>
      <w:r>
        <w:rPr>
          <w:rFonts w:hint="eastAsia" w:ascii="宋体" w:hAnsi="宋体"/>
          <w:b/>
          <w:sz w:val="32"/>
          <w:szCs w:val="32"/>
          <w:lang w:eastAsia="zh-CN"/>
        </w:rPr>
        <w:t>交通运输局</w:t>
      </w:r>
      <w:r>
        <w:rPr>
          <w:rFonts w:hint="eastAsia" w:ascii="宋体" w:hAnsi="宋体"/>
          <w:b/>
          <w:sz w:val="32"/>
          <w:szCs w:val="30"/>
        </w:rPr>
        <w:t>概况</w:t>
      </w:r>
    </w:p>
    <w:p>
      <w:pPr>
        <w:widowControl/>
        <w:spacing w:line="580" w:lineRule="exact"/>
        <w:jc w:val="center"/>
        <w:rPr>
          <w:rFonts w:hint="eastAsia" w:ascii="宋体" w:hAnsi="宋体"/>
          <w:b/>
          <w:sz w:val="32"/>
          <w:szCs w:val="30"/>
        </w:rPr>
      </w:pPr>
    </w:p>
    <w:p>
      <w:pPr>
        <w:ind w:firstLine="630"/>
        <w:jc w:val="left"/>
        <w:rPr>
          <w:rFonts w:hint="eastAsia" w:ascii="仿宋_GB2312" w:hAnsi="仿宋_GB2312" w:eastAsia="仿宋_GB2312" w:cs="仿宋_GB2312"/>
          <w:b/>
          <w:sz w:val="32"/>
          <w:szCs w:val="32"/>
        </w:rPr>
      </w:pPr>
      <w:r>
        <w:rPr>
          <w:rFonts w:hint="eastAsia" w:ascii="黑体" w:hAnsi="黑体" w:eastAsia="黑体"/>
          <w:sz w:val="30"/>
          <w:szCs w:val="30"/>
        </w:rPr>
        <w:t>一、部门主要职能</w:t>
      </w:r>
    </w:p>
    <w:p>
      <w:pPr>
        <w:ind w:firstLine="720" w:firstLineChars="225"/>
        <w:rPr>
          <w:rFonts w:hint="eastAsia" w:ascii="仿宋_GB2312" w:hAnsi="仿宋_GB2312" w:eastAsia="仿宋_GB2312" w:cs="仿宋_GB2312"/>
          <w:sz w:val="32"/>
          <w:szCs w:val="32"/>
        </w:rPr>
      </w:pPr>
      <w:r>
        <w:rPr>
          <w:rFonts w:hint="eastAsia" w:ascii="仿宋_GB2312" w:hAnsi="仿宋_GB2312" w:eastAsia="仿宋_GB2312"/>
          <w:sz w:val="32"/>
          <w:szCs w:val="32"/>
          <w:lang w:eastAsia="zh-CN"/>
        </w:rPr>
        <w:t>奉新</w:t>
      </w:r>
      <w:r>
        <w:rPr>
          <w:rFonts w:hint="eastAsia" w:ascii="仿宋_GB2312" w:hAnsi="仿宋_GB2312" w:eastAsia="仿宋_GB2312"/>
          <w:sz w:val="32"/>
          <w:szCs w:val="32"/>
        </w:rPr>
        <w:t xml:space="preserve">县交通运输局是县政府组成部门。主要职责是：                       </w:t>
      </w:r>
      <w:r>
        <w:rPr>
          <w:rFonts w:ascii="仿宋_GB2312" w:hAnsi="仿宋_GB2312" w:eastAsia="仿宋_GB2312" w:cs="Arial"/>
          <w:color w:val="010000"/>
          <w:kern w:val="0"/>
          <w:sz w:val="32"/>
        </w:rPr>
        <w:t>贯彻执行国家、省有关交通运输的法律、法规、规章和政策，拟订有关具体政策。根据全县经济社会发展规划，拟订公路、水路等行业发展规划并组织实施。指导公路、水路行业有关体制改革工作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承担公路、水路运输体系的规划协调工作，在全县经济社会发展总体规划的框架内，组织编制公路、水路运输体系规划，指导公路、水路运输枢纽管理</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全县县乡村公路（含桥梁）、水路基础设施建设项目的申报和计划下达，勘察、设计、施工指导，工程质量监督、验收，以及财政性专项资金安排意见，负责所辖县道公路的养护和有关县乡村公路的路政管理，指导全县乡村公路的养护工作，保护路产路权</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承担道路、水路运输市场监管责任。监督道路、水路运输有关政策、准入制度、技术标准和运营规范的实施。负责城市公共交通设施规划和管理工作，指导公路旅客运输、货物（含危险品）运输、出租汽车、汽车维修、车辆综合性能检测、搬运装卸、驾驶员培训市场及水路运输市场行业管理</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承担公路、水路建设市场监管责任。监督公路、水路工程建设相关政策、制度和技术标准的实施，协调公路、水路重点工程建设。按规定负责港口规划和岸线使用作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负责渡口、公路运输企业、水路运输企业、城市公共交通企业、交通工程建设的安全生产监管和应急管理工作。按规定组织协调重点物资运输和紧急客货运输。承担国防交通动员保障等工作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指导交通行业精神文明建设和干部职工队伍建设。组织拟订公路、水路行业科技、教育政策并监督实施，组织协调有关重点科技项目研究</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开展相关统计工作，公布有关信息。指导交通运输行业环境保护、节能减排、信息化建设工作</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负责全县交通战备工作，落实交通战备保障措施和军事交通各项任务的组织实施</w:t>
      </w:r>
      <w:r>
        <w:rPr>
          <w:rFonts w:hint="eastAsia" w:ascii="仿宋_GB2312" w:hAnsi="仿宋_GB2312" w:eastAsia="仿宋_GB2312" w:cs="Arial"/>
          <w:color w:val="010000"/>
          <w:kern w:val="0"/>
          <w:sz w:val="32"/>
        </w:rPr>
        <w:t>；</w:t>
      </w:r>
      <w:r>
        <w:rPr>
          <w:rFonts w:ascii="仿宋_GB2312" w:hAnsi="仿宋_GB2312" w:eastAsia="仿宋_GB2312" w:cs="Arial"/>
          <w:color w:val="010000"/>
          <w:kern w:val="0"/>
          <w:sz w:val="32"/>
        </w:rPr>
        <w:t>负责县政府有关交通方面的涉外工作。承办县人民政府交办的其他事项。</w:t>
      </w:r>
    </w:p>
    <w:p>
      <w:pPr>
        <w:spacing w:line="480" w:lineRule="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二、部门基本情况</w:t>
      </w:r>
    </w:p>
    <w:p>
      <w:pPr>
        <w:ind w:firstLine="720" w:firstLineChars="225"/>
        <w:rPr>
          <w:rFonts w:hint="eastAsia" w:ascii="仿宋_GB2312" w:eastAsia="仿宋_GB2312"/>
          <w:sz w:val="32"/>
          <w:szCs w:val="32"/>
        </w:rPr>
      </w:pPr>
      <w:r>
        <w:rPr>
          <w:rFonts w:hint="eastAsia" w:ascii="仿宋_GB2312" w:hAnsi="仿宋_GB2312" w:eastAsia="仿宋_GB2312"/>
          <w:sz w:val="32"/>
          <w:szCs w:val="32"/>
          <w:lang w:eastAsia="zh-CN"/>
        </w:rPr>
        <w:t>奉新</w:t>
      </w:r>
      <w:r>
        <w:rPr>
          <w:rFonts w:hint="eastAsia" w:ascii="仿宋_GB2312" w:hAnsi="仿宋_GB2312" w:eastAsia="仿宋_GB2312"/>
          <w:sz w:val="32"/>
          <w:szCs w:val="32"/>
        </w:rPr>
        <w:t>县交通运输局共有预算单位3个，包括局本级和2个所属二级预算单位。编制人数49个，其中：行政编制8人，全额补助事业编制41人。实有人数 95人，其中：在职人数69人，包括行政编制人员23人、全额补助事业编制人员46人；离退休人员26人，包括离休人员1人、退休人员25人。</w:t>
      </w:r>
    </w:p>
    <w:p>
      <w:pPr>
        <w:jc w:val="left"/>
        <w:rPr>
          <w:rFonts w:hint="eastAsia" w:ascii="仿宋" w:hAnsi="仿宋" w:eastAsia="仿宋"/>
          <w:sz w:val="30"/>
          <w:szCs w:val="30"/>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 xml:space="preserve">第二部分 </w:t>
      </w:r>
      <w:r>
        <w:rPr>
          <w:rFonts w:hint="eastAsia" w:ascii="宋体" w:hAnsi="宋体"/>
          <w:b/>
          <w:sz w:val="32"/>
          <w:szCs w:val="32"/>
          <w:lang w:eastAsia="zh-CN"/>
        </w:rPr>
        <w:t>奉新县交通运输局</w:t>
      </w:r>
      <w:r>
        <w:rPr>
          <w:rFonts w:hint="eastAsia" w:ascii="宋体" w:hAnsi="宋体"/>
          <w:b/>
          <w:sz w:val="32"/>
          <w:szCs w:val="32"/>
        </w:rPr>
        <w:t>201</w:t>
      </w:r>
      <w:r>
        <w:rPr>
          <w:rFonts w:hint="eastAsia" w:ascii="宋体" w:hAnsi="宋体"/>
          <w:b/>
          <w:sz w:val="32"/>
          <w:szCs w:val="32"/>
          <w:lang w:val="en-US" w:eastAsia="zh-CN"/>
        </w:rPr>
        <w:t>6</w:t>
      </w:r>
      <w:r>
        <w:rPr>
          <w:rFonts w:hint="eastAsia" w:ascii="宋体" w:hAnsi="宋体"/>
          <w:b/>
          <w:sz w:val="32"/>
          <w:szCs w:val="32"/>
        </w:rPr>
        <w:t>年部门决算情况说明</w:t>
      </w:r>
    </w:p>
    <w:p>
      <w:pPr>
        <w:widowControl/>
        <w:spacing w:line="600" w:lineRule="exact"/>
        <w:ind w:firstLine="640"/>
        <w:jc w:val="center"/>
        <w:rPr>
          <w:rFonts w:hint="eastAsia" w:ascii="宋体" w:hAnsi="宋体"/>
          <w:b/>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本部门201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年度收入总计</w:t>
      </w:r>
      <w:r>
        <w:rPr>
          <w:rFonts w:hint="eastAsia" w:ascii="仿宋_GB2312" w:hAnsi="仿宋_GB2312" w:eastAsia="仿宋_GB2312" w:cs="仿宋_GB2312"/>
          <w:sz w:val="30"/>
          <w:szCs w:val="30"/>
          <w:lang w:val="en-US" w:eastAsia="zh-CN"/>
        </w:rPr>
        <w:t>1906.49</w:t>
      </w:r>
      <w:r>
        <w:rPr>
          <w:rFonts w:hint="eastAsia" w:ascii="仿宋_GB2312" w:hAnsi="仿宋_GB2312" w:eastAsia="仿宋_GB2312" w:cs="仿宋_GB2312"/>
          <w:sz w:val="30"/>
          <w:szCs w:val="30"/>
        </w:rPr>
        <w:t>万元，较上年下降</w:t>
      </w:r>
      <w:r>
        <w:rPr>
          <w:rFonts w:hint="eastAsia" w:ascii="仿宋_GB2312" w:hAnsi="仿宋_GB2312" w:eastAsia="仿宋_GB2312" w:cs="仿宋_GB2312"/>
          <w:sz w:val="30"/>
          <w:szCs w:val="30"/>
          <w:lang w:val="en-US" w:eastAsia="zh-CN"/>
        </w:rPr>
        <w:t>45</w:t>
      </w:r>
      <w:r>
        <w:rPr>
          <w:rFonts w:hint="eastAsia" w:ascii="仿宋_GB2312" w:hAnsi="仿宋_GB2312" w:eastAsia="仿宋_GB2312" w:cs="仿宋_GB2312"/>
          <w:sz w:val="30"/>
          <w:szCs w:val="30"/>
        </w:rPr>
        <w:t xml:space="preserve">  %；本年收入合计</w:t>
      </w:r>
      <w:r>
        <w:rPr>
          <w:rFonts w:hint="eastAsia" w:ascii="仿宋_GB2312" w:hAnsi="仿宋_GB2312" w:eastAsia="仿宋_GB2312" w:cs="仿宋_GB2312"/>
          <w:sz w:val="30"/>
          <w:szCs w:val="30"/>
          <w:lang w:val="en-US" w:eastAsia="zh-CN"/>
        </w:rPr>
        <w:t>1906.49</w:t>
      </w:r>
      <w:r>
        <w:rPr>
          <w:rFonts w:hint="eastAsia" w:ascii="仿宋_GB2312" w:hAnsi="仿宋_GB2312" w:eastAsia="仿宋_GB2312" w:cs="仿宋_GB2312"/>
          <w:sz w:val="30"/>
          <w:szCs w:val="30"/>
        </w:rPr>
        <w:t xml:space="preserve">  万元，较上年下降</w:t>
      </w:r>
      <w:r>
        <w:rPr>
          <w:rFonts w:hint="eastAsia" w:ascii="仿宋_GB2312" w:hAnsi="仿宋_GB2312" w:eastAsia="仿宋_GB2312" w:cs="仿宋_GB2312"/>
          <w:sz w:val="30"/>
          <w:szCs w:val="30"/>
          <w:lang w:val="en-US" w:eastAsia="zh-CN"/>
        </w:rPr>
        <w:t>45</w:t>
      </w:r>
      <w:r>
        <w:rPr>
          <w:rFonts w:hint="eastAsia" w:ascii="仿宋_GB2312" w:hAnsi="仿宋_GB2312" w:eastAsia="仿宋_GB2312" w:cs="仿宋_GB2312"/>
          <w:sz w:val="30"/>
          <w:szCs w:val="30"/>
        </w:rPr>
        <w:t xml:space="preserve"> %，主要原因是：</w:t>
      </w:r>
      <w:r>
        <w:rPr>
          <w:rFonts w:hint="eastAsia" w:ascii="仿宋_GB2312" w:hAnsi="仿宋_GB2312" w:eastAsia="仿宋_GB2312" w:cs="仿宋_GB2312"/>
          <w:sz w:val="30"/>
          <w:szCs w:val="30"/>
          <w:lang w:eastAsia="zh-CN"/>
        </w:rPr>
        <w:t>工程项目的减少</w:t>
      </w:r>
      <w:r>
        <w:rPr>
          <w:rFonts w:hint="eastAsia" w:ascii="仿宋_GB2312" w:hAnsi="仿宋_GB2312" w:eastAsia="仿宋_GB2312" w:cs="仿宋_GB2312"/>
          <w:sz w:val="30"/>
          <w:szCs w:val="30"/>
        </w:rPr>
        <w:t>。</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本年收入的具体构成为：财政拨款收入</w:t>
      </w:r>
      <w:r>
        <w:rPr>
          <w:rFonts w:hint="eastAsia" w:ascii="仿宋_GB2312" w:hAnsi="仿宋_GB2312" w:eastAsia="仿宋_GB2312" w:cs="仿宋_GB2312"/>
          <w:sz w:val="30"/>
          <w:szCs w:val="30"/>
          <w:lang w:val="en-US" w:eastAsia="zh-CN"/>
        </w:rPr>
        <w:t>1906.49</w:t>
      </w:r>
      <w:r>
        <w:rPr>
          <w:rFonts w:hint="eastAsia" w:ascii="仿宋_GB2312" w:hAnsi="仿宋_GB2312" w:eastAsia="仿宋_GB2312" w:cs="仿宋_GB2312"/>
          <w:sz w:val="30"/>
          <w:szCs w:val="30"/>
        </w:rPr>
        <w:t xml:space="preserve">  万元，占</w:t>
      </w:r>
      <w:r>
        <w:rPr>
          <w:rFonts w:hint="eastAsia" w:ascii="仿宋_GB2312" w:hAnsi="仿宋_GB2312" w:eastAsia="仿宋_GB2312" w:cs="仿宋_GB2312"/>
          <w:sz w:val="30"/>
          <w:szCs w:val="30"/>
          <w:lang w:val="en-US" w:eastAsia="zh-CN"/>
        </w:rPr>
        <w:t>100</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本部门201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年度支出总计</w:t>
      </w:r>
      <w:r>
        <w:rPr>
          <w:rFonts w:hint="eastAsia" w:ascii="仿宋_GB2312" w:hAnsi="仿宋_GB2312" w:eastAsia="仿宋_GB2312" w:cs="仿宋_GB2312"/>
          <w:sz w:val="30"/>
          <w:szCs w:val="30"/>
          <w:lang w:val="en-US" w:eastAsia="zh-CN"/>
        </w:rPr>
        <w:t>1906.49</w:t>
      </w:r>
      <w:r>
        <w:rPr>
          <w:rFonts w:hint="eastAsia" w:ascii="仿宋_GB2312" w:hAnsi="仿宋_GB2312" w:eastAsia="仿宋_GB2312" w:cs="仿宋_GB2312"/>
          <w:sz w:val="30"/>
          <w:szCs w:val="30"/>
        </w:rPr>
        <w:t>万元，其中本年支出合计</w:t>
      </w:r>
      <w:r>
        <w:rPr>
          <w:rFonts w:hint="eastAsia" w:ascii="仿宋_GB2312" w:hAnsi="仿宋_GB2312" w:eastAsia="仿宋_GB2312" w:cs="仿宋_GB2312"/>
          <w:sz w:val="30"/>
          <w:szCs w:val="30"/>
          <w:lang w:val="en-US" w:eastAsia="zh-CN"/>
        </w:rPr>
        <w:t>1906.49</w:t>
      </w:r>
      <w:r>
        <w:rPr>
          <w:rFonts w:hint="eastAsia" w:ascii="仿宋_GB2312" w:hAnsi="仿宋_GB2312" w:eastAsia="仿宋_GB2312" w:cs="仿宋_GB2312"/>
          <w:sz w:val="30"/>
          <w:szCs w:val="30"/>
        </w:rPr>
        <w:t>万元，较上年下降</w:t>
      </w:r>
      <w:r>
        <w:rPr>
          <w:rFonts w:hint="eastAsia" w:ascii="仿宋_GB2312" w:hAnsi="仿宋_GB2312" w:eastAsia="仿宋_GB2312" w:cs="仿宋_GB2312"/>
          <w:sz w:val="30"/>
          <w:szCs w:val="30"/>
          <w:lang w:val="en-US" w:eastAsia="zh-CN"/>
        </w:rPr>
        <w:t>45</w:t>
      </w:r>
      <w:r>
        <w:rPr>
          <w:rFonts w:hint="eastAsia" w:ascii="仿宋_GB2312" w:hAnsi="仿宋_GB2312" w:eastAsia="仿宋_GB2312" w:cs="仿宋_GB2312"/>
          <w:sz w:val="30"/>
          <w:szCs w:val="30"/>
        </w:rPr>
        <w:t>%，主要原因是：</w:t>
      </w:r>
      <w:r>
        <w:rPr>
          <w:rFonts w:hint="eastAsia" w:ascii="仿宋_GB2312" w:hAnsi="仿宋_GB2312" w:eastAsia="仿宋_GB2312" w:cs="仿宋_GB2312"/>
          <w:sz w:val="30"/>
          <w:szCs w:val="30"/>
          <w:lang w:eastAsia="zh-CN"/>
        </w:rPr>
        <w:t>工程项目的减少</w:t>
      </w:r>
      <w:r>
        <w:rPr>
          <w:rFonts w:hint="eastAsia" w:ascii="仿宋_GB2312" w:hAnsi="仿宋_GB2312" w:eastAsia="仿宋_GB2312" w:cs="仿宋_GB2312"/>
          <w:sz w:val="30"/>
          <w:szCs w:val="30"/>
        </w:rPr>
        <w:t>。</w:t>
      </w:r>
    </w:p>
    <w:p>
      <w:pPr>
        <w:ind w:firstLine="630"/>
        <w:jc w:val="left"/>
        <w:rPr>
          <w:rFonts w:hint="eastAsia" w:ascii="仿宋" w:hAnsi="仿宋" w:eastAsia="仿宋"/>
          <w:sz w:val="30"/>
          <w:szCs w:val="30"/>
        </w:rPr>
      </w:pPr>
      <w:r>
        <w:rPr>
          <w:rFonts w:hint="eastAsia" w:ascii="仿宋_GB2312" w:hAnsi="仿宋_GB2312" w:eastAsia="仿宋_GB2312" w:cs="仿宋_GB2312"/>
          <w:sz w:val="30"/>
          <w:szCs w:val="30"/>
        </w:rPr>
        <w:t xml:space="preserve">本年支出的具体构成为：基本支出 </w:t>
      </w:r>
      <w:r>
        <w:rPr>
          <w:rFonts w:hint="eastAsia" w:ascii="仿宋_GB2312" w:hAnsi="仿宋_GB2312" w:eastAsia="仿宋_GB2312" w:cs="仿宋_GB2312"/>
          <w:sz w:val="30"/>
          <w:szCs w:val="30"/>
          <w:lang w:val="en-US" w:eastAsia="zh-CN"/>
        </w:rPr>
        <w:t>624.69</w:t>
      </w:r>
      <w:r>
        <w:rPr>
          <w:rFonts w:hint="eastAsia" w:ascii="仿宋_GB2312" w:hAnsi="仿宋_GB2312" w:eastAsia="仿宋_GB2312" w:cs="仿宋_GB2312"/>
          <w:sz w:val="30"/>
          <w:szCs w:val="30"/>
        </w:rPr>
        <w:t xml:space="preserve">万元，占 </w:t>
      </w:r>
      <w:r>
        <w:rPr>
          <w:rFonts w:hint="eastAsia" w:ascii="仿宋_GB2312" w:hAnsi="仿宋_GB2312" w:eastAsia="仿宋_GB2312" w:cs="仿宋_GB2312"/>
          <w:sz w:val="30"/>
          <w:szCs w:val="30"/>
          <w:lang w:val="en-US" w:eastAsia="zh-CN"/>
        </w:rPr>
        <w:t>32.8</w:t>
      </w:r>
      <w:r>
        <w:rPr>
          <w:rFonts w:hint="eastAsia" w:ascii="仿宋_GB2312" w:hAnsi="仿宋_GB2312" w:eastAsia="仿宋_GB2312" w:cs="仿宋_GB2312"/>
          <w:sz w:val="30"/>
          <w:szCs w:val="30"/>
        </w:rPr>
        <w:t xml:space="preserve"> %；项目支出 </w:t>
      </w:r>
      <w:r>
        <w:rPr>
          <w:rFonts w:hint="eastAsia" w:ascii="仿宋_GB2312" w:hAnsi="仿宋_GB2312" w:eastAsia="仿宋_GB2312" w:cs="仿宋_GB2312"/>
          <w:sz w:val="30"/>
          <w:szCs w:val="30"/>
          <w:lang w:val="en-US" w:eastAsia="zh-CN"/>
        </w:rPr>
        <w:t>1258.85</w:t>
      </w:r>
      <w:r>
        <w:rPr>
          <w:rFonts w:hint="eastAsia" w:ascii="仿宋_GB2312" w:hAnsi="仿宋_GB2312" w:eastAsia="仿宋_GB2312" w:cs="仿宋_GB2312"/>
          <w:sz w:val="30"/>
          <w:szCs w:val="30"/>
        </w:rPr>
        <w:t xml:space="preserve">万元，占 </w:t>
      </w:r>
      <w:r>
        <w:rPr>
          <w:rFonts w:hint="eastAsia" w:ascii="仿宋_GB2312" w:hAnsi="仿宋_GB2312" w:eastAsia="仿宋_GB2312" w:cs="仿宋_GB2312"/>
          <w:sz w:val="30"/>
          <w:szCs w:val="30"/>
          <w:lang w:val="en-US" w:eastAsia="zh-CN"/>
        </w:rPr>
        <w:t>66</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eastAsia="zh-CN"/>
        </w:rPr>
        <w:t>土地开发</w:t>
      </w:r>
      <w:r>
        <w:rPr>
          <w:rFonts w:hint="eastAsia" w:ascii="仿宋_GB2312" w:hAnsi="仿宋_GB2312" w:eastAsia="仿宋_GB2312" w:cs="仿宋_GB2312"/>
          <w:sz w:val="30"/>
          <w:szCs w:val="30"/>
        </w:rPr>
        <w:t>支出</w:t>
      </w:r>
      <w:r>
        <w:rPr>
          <w:rFonts w:hint="eastAsia" w:ascii="仿宋_GB2312" w:hAnsi="仿宋_GB2312" w:eastAsia="仿宋_GB2312" w:cs="仿宋_GB2312"/>
          <w:sz w:val="30"/>
          <w:szCs w:val="30"/>
          <w:lang w:val="en-US" w:eastAsia="zh-CN"/>
        </w:rPr>
        <w:t>22.95</w:t>
      </w:r>
      <w:r>
        <w:rPr>
          <w:rFonts w:hint="eastAsia" w:ascii="仿宋_GB2312" w:hAnsi="仿宋_GB2312" w:eastAsia="仿宋_GB2312" w:cs="仿宋_GB2312"/>
          <w:sz w:val="30"/>
          <w:szCs w:val="30"/>
        </w:rPr>
        <w:t xml:space="preserve"> 万元，占</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本部门201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年度财政拨款支出年初预算数为</w:t>
      </w:r>
      <w:r>
        <w:rPr>
          <w:rFonts w:hint="eastAsia" w:ascii="仿宋_GB2312" w:hAnsi="仿宋_GB2312" w:eastAsia="仿宋_GB2312" w:cs="仿宋_GB2312"/>
          <w:sz w:val="30"/>
          <w:szCs w:val="30"/>
          <w:lang w:val="en-US" w:eastAsia="zh-CN"/>
        </w:rPr>
        <w:t>607.77</w:t>
      </w:r>
      <w:r>
        <w:rPr>
          <w:rFonts w:hint="eastAsia" w:ascii="仿宋_GB2312" w:hAnsi="仿宋_GB2312" w:eastAsia="仿宋_GB2312" w:cs="仿宋_GB2312"/>
          <w:sz w:val="30"/>
          <w:szCs w:val="30"/>
        </w:rPr>
        <w:t xml:space="preserve"> 万元，决算数为  </w:t>
      </w:r>
      <w:r>
        <w:rPr>
          <w:rFonts w:hint="eastAsia" w:ascii="仿宋_GB2312" w:hAnsi="仿宋_GB2312" w:eastAsia="仿宋_GB2312" w:cs="仿宋_GB2312"/>
          <w:sz w:val="30"/>
          <w:szCs w:val="30"/>
          <w:lang w:val="en-US" w:eastAsia="zh-CN"/>
        </w:rPr>
        <w:t>1906.49</w:t>
      </w:r>
      <w:r>
        <w:rPr>
          <w:rFonts w:hint="eastAsia" w:ascii="仿宋_GB2312" w:hAnsi="仿宋_GB2312" w:eastAsia="仿宋_GB2312" w:cs="仿宋_GB2312"/>
          <w:sz w:val="30"/>
          <w:szCs w:val="30"/>
        </w:rPr>
        <w:t>万元，完成年初预算的</w:t>
      </w:r>
      <w:r>
        <w:rPr>
          <w:rFonts w:hint="eastAsia" w:ascii="仿宋_GB2312" w:hAnsi="仿宋_GB2312" w:eastAsia="仿宋_GB2312" w:cs="仿宋_GB2312"/>
          <w:sz w:val="30"/>
          <w:szCs w:val="30"/>
          <w:lang w:val="en-US" w:eastAsia="zh-CN"/>
        </w:rPr>
        <w:t>100</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eastAsia="zh-CN"/>
        </w:rPr>
        <w:t>。</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按功能分类科目分：一般公共服务支出年初预算数为  </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 xml:space="preserve"> 万元，决算数为  </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万元</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 xml:space="preserve">；公共安全支出年初预算数为   </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 xml:space="preserve">万元，决算数为 </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 xml:space="preserve"> 万元。</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一般公共预算财政拨款基本支出</w:t>
      </w:r>
      <w:r>
        <w:rPr>
          <w:rFonts w:hint="eastAsia" w:ascii="仿宋_GB2312" w:hAnsi="仿宋_GB2312" w:eastAsia="仿宋_GB2312" w:cs="仿宋_GB2312"/>
          <w:sz w:val="30"/>
          <w:szCs w:val="30"/>
        </w:rPr>
        <w:t xml:space="preserve">按经济分类科目分：工资福利支出 </w:t>
      </w:r>
      <w:r>
        <w:rPr>
          <w:rFonts w:hint="eastAsia" w:ascii="仿宋_GB2312" w:hAnsi="仿宋_GB2312" w:eastAsia="仿宋_GB2312" w:cs="仿宋_GB2312"/>
          <w:sz w:val="30"/>
          <w:szCs w:val="30"/>
          <w:lang w:val="en-US" w:eastAsia="zh-CN"/>
        </w:rPr>
        <w:t>407.93</w:t>
      </w:r>
      <w:r>
        <w:rPr>
          <w:rFonts w:hint="eastAsia" w:ascii="仿宋_GB2312" w:hAnsi="仿宋_GB2312" w:eastAsia="仿宋_GB2312" w:cs="仿宋_GB2312"/>
          <w:sz w:val="30"/>
          <w:szCs w:val="30"/>
        </w:rPr>
        <w:t xml:space="preserve">  万元，较上年增长</w:t>
      </w:r>
      <w:r>
        <w:rPr>
          <w:rFonts w:hint="eastAsia" w:ascii="仿宋_GB2312" w:hAnsi="仿宋_GB2312" w:eastAsia="仿宋_GB2312" w:cs="仿宋_GB2312"/>
          <w:sz w:val="30"/>
          <w:szCs w:val="30"/>
          <w:lang w:val="en-US" w:eastAsia="zh-CN"/>
        </w:rPr>
        <w:t>13.8</w:t>
      </w:r>
      <w:r>
        <w:rPr>
          <w:rFonts w:hint="eastAsia" w:ascii="仿宋_GB2312" w:hAnsi="仿宋_GB2312" w:eastAsia="仿宋_GB2312" w:cs="仿宋_GB2312"/>
          <w:sz w:val="30"/>
          <w:szCs w:val="30"/>
        </w:rPr>
        <w:t xml:space="preserve">  %，主要原因是：</w:t>
      </w:r>
      <w:r>
        <w:rPr>
          <w:rFonts w:hint="eastAsia" w:ascii="仿宋_GB2312" w:hAnsi="仿宋_GB2312" w:eastAsia="仿宋_GB2312" w:cs="仿宋_GB2312"/>
          <w:sz w:val="30"/>
          <w:szCs w:val="30"/>
          <w:lang w:eastAsia="zh-CN"/>
        </w:rPr>
        <w:t>工资增长</w:t>
      </w:r>
      <w:r>
        <w:rPr>
          <w:rFonts w:hint="eastAsia" w:ascii="仿宋_GB2312" w:hAnsi="仿宋_GB2312" w:eastAsia="仿宋_GB2312" w:cs="仿宋_GB2312"/>
          <w:sz w:val="30"/>
          <w:szCs w:val="30"/>
        </w:rPr>
        <w:t>；商品和服务支出</w:t>
      </w:r>
      <w:r>
        <w:rPr>
          <w:rFonts w:hint="eastAsia" w:ascii="仿宋_GB2312" w:hAnsi="仿宋_GB2312" w:eastAsia="仿宋_GB2312" w:cs="仿宋_GB2312"/>
          <w:sz w:val="30"/>
          <w:szCs w:val="30"/>
          <w:lang w:val="en-US" w:eastAsia="zh-CN"/>
        </w:rPr>
        <w:t>77.33</w:t>
      </w:r>
      <w:r>
        <w:rPr>
          <w:rFonts w:hint="eastAsia" w:ascii="仿宋_GB2312" w:hAnsi="仿宋_GB2312" w:eastAsia="仿宋_GB2312" w:cs="仿宋_GB2312"/>
          <w:sz w:val="30"/>
          <w:szCs w:val="30"/>
        </w:rPr>
        <w:t xml:space="preserve"> 万元，较上年增长</w:t>
      </w:r>
      <w:r>
        <w:rPr>
          <w:rFonts w:hint="eastAsia" w:ascii="仿宋_GB2312" w:hAnsi="仿宋_GB2312" w:eastAsia="仿宋_GB2312" w:cs="仿宋_GB2312"/>
          <w:sz w:val="30"/>
          <w:szCs w:val="30"/>
          <w:lang w:val="en-US" w:eastAsia="zh-CN"/>
        </w:rPr>
        <w:t>65</w:t>
      </w:r>
      <w:r>
        <w:rPr>
          <w:rFonts w:hint="eastAsia" w:ascii="仿宋_GB2312" w:hAnsi="仿宋_GB2312" w:eastAsia="仿宋_GB2312" w:cs="仿宋_GB2312"/>
          <w:sz w:val="30"/>
          <w:szCs w:val="30"/>
        </w:rPr>
        <w:t xml:space="preserve"> %，主要原因是：</w:t>
      </w:r>
      <w:r>
        <w:rPr>
          <w:rFonts w:hint="eastAsia" w:ascii="仿宋_GB2312" w:hAnsi="仿宋_GB2312" w:eastAsia="仿宋_GB2312" w:cs="仿宋_GB2312"/>
          <w:sz w:val="30"/>
          <w:szCs w:val="30"/>
          <w:lang w:eastAsia="zh-CN"/>
        </w:rPr>
        <w:t>增加了公车补助</w:t>
      </w:r>
      <w:r>
        <w:rPr>
          <w:rFonts w:hint="eastAsia" w:ascii="仿宋_GB2312" w:hAnsi="仿宋_GB2312" w:eastAsia="仿宋_GB2312" w:cs="仿宋_GB2312"/>
          <w:sz w:val="30"/>
          <w:szCs w:val="30"/>
        </w:rPr>
        <w:t xml:space="preserve">；对个人和家庭补助支出 </w:t>
      </w:r>
      <w:r>
        <w:rPr>
          <w:rFonts w:hint="eastAsia" w:ascii="仿宋_GB2312" w:hAnsi="仿宋_GB2312" w:eastAsia="仿宋_GB2312" w:cs="仿宋_GB2312"/>
          <w:sz w:val="30"/>
          <w:szCs w:val="30"/>
          <w:lang w:val="en-US" w:eastAsia="zh-CN"/>
        </w:rPr>
        <w:t>137.14</w:t>
      </w:r>
      <w:r>
        <w:rPr>
          <w:rFonts w:hint="eastAsia" w:ascii="仿宋_GB2312" w:hAnsi="仿宋_GB2312" w:eastAsia="仿宋_GB2312" w:cs="仿宋_GB2312"/>
          <w:sz w:val="30"/>
          <w:szCs w:val="30"/>
        </w:rPr>
        <w:t xml:space="preserve">  万元，较上年增长</w:t>
      </w:r>
      <w:r>
        <w:rPr>
          <w:rFonts w:hint="eastAsia" w:ascii="仿宋_GB2312" w:hAnsi="仿宋_GB2312" w:eastAsia="仿宋_GB2312" w:cs="仿宋_GB2312"/>
          <w:sz w:val="30"/>
          <w:szCs w:val="30"/>
          <w:lang w:val="en-US" w:eastAsia="zh-CN"/>
        </w:rPr>
        <w:t>31.6</w:t>
      </w:r>
      <w:r>
        <w:rPr>
          <w:rFonts w:hint="eastAsia" w:ascii="仿宋_GB2312" w:hAnsi="仿宋_GB2312" w:eastAsia="仿宋_GB2312" w:cs="仿宋_GB2312"/>
          <w:sz w:val="30"/>
          <w:szCs w:val="30"/>
        </w:rPr>
        <w:t>%，主要原因是：</w:t>
      </w:r>
      <w:r>
        <w:rPr>
          <w:rFonts w:hint="eastAsia" w:ascii="仿宋_GB2312" w:hAnsi="仿宋_GB2312" w:eastAsia="仿宋_GB2312" w:cs="仿宋_GB2312"/>
          <w:sz w:val="30"/>
          <w:szCs w:val="30"/>
          <w:lang w:eastAsia="zh-CN"/>
        </w:rPr>
        <w:t>工资待遇的提高以及提高了医保的缴费基数</w:t>
      </w:r>
      <w:r>
        <w:rPr>
          <w:rFonts w:hint="eastAsia" w:ascii="仿宋_GB2312" w:hAnsi="仿宋_GB2312" w:eastAsia="仿宋_GB2312" w:cs="仿宋_GB2312"/>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lang w:eastAsia="zh-CN"/>
        </w:rPr>
        <w:t>四</w:t>
      </w:r>
      <w:r>
        <w:rPr>
          <w:rFonts w:hint="eastAsia" w:ascii="黑体" w:hAnsi="黑体" w:eastAsia="黑体"/>
          <w:sz w:val="30"/>
          <w:szCs w:val="30"/>
        </w:rPr>
        <w:t>、</w:t>
      </w:r>
      <w:r>
        <w:rPr>
          <w:rFonts w:hint="eastAsia" w:ascii="黑体" w:hAnsi="黑体" w:eastAsia="黑体"/>
          <w:sz w:val="30"/>
          <w:szCs w:val="30"/>
          <w:lang w:eastAsia="zh-CN"/>
        </w:rPr>
        <w:t>一般公共预算财政拨款</w:t>
      </w:r>
      <w:r>
        <w:rPr>
          <w:rFonts w:hint="eastAsia" w:ascii="黑体" w:hAnsi="黑体" w:eastAsia="黑体"/>
          <w:sz w:val="30"/>
          <w:szCs w:val="30"/>
        </w:rPr>
        <w:t>“三公”经费支出决算情况说明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本部门201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年度</w:t>
      </w:r>
      <w:r>
        <w:rPr>
          <w:rFonts w:hint="eastAsia" w:ascii="仿宋_GB2312" w:hAnsi="仿宋_GB2312" w:eastAsia="仿宋_GB2312" w:cs="仿宋_GB2312"/>
          <w:sz w:val="30"/>
          <w:szCs w:val="30"/>
          <w:lang w:eastAsia="zh-CN"/>
        </w:rPr>
        <w:t>一般公共预算财政拨款</w:t>
      </w:r>
      <w:r>
        <w:rPr>
          <w:rFonts w:hint="eastAsia" w:ascii="仿宋_GB2312" w:hAnsi="仿宋_GB2312" w:eastAsia="仿宋_GB2312" w:cs="仿宋_GB2312"/>
          <w:sz w:val="30"/>
          <w:szCs w:val="30"/>
        </w:rPr>
        <w:t xml:space="preserve">“三公”经费支出年初预算数为 </w:t>
      </w:r>
      <w:r>
        <w:rPr>
          <w:rFonts w:hint="eastAsia" w:ascii="仿宋_GB2312" w:hAnsi="仿宋_GB2312" w:eastAsia="仿宋_GB2312" w:cs="仿宋_GB2312"/>
          <w:sz w:val="30"/>
          <w:szCs w:val="30"/>
          <w:lang w:val="en-US" w:eastAsia="zh-CN"/>
        </w:rPr>
        <w:t>36.1</w:t>
      </w:r>
      <w:r>
        <w:rPr>
          <w:rFonts w:hint="eastAsia" w:ascii="仿宋_GB2312" w:hAnsi="仿宋_GB2312" w:eastAsia="仿宋_GB2312" w:cs="仿宋_GB2312"/>
          <w:sz w:val="30"/>
          <w:szCs w:val="30"/>
        </w:rPr>
        <w:t xml:space="preserve">  万元，决算数为</w:t>
      </w:r>
      <w:r>
        <w:rPr>
          <w:rFonts w:hint="eastAsia" w:ascii="仿宋_GB2312" w:hAnsi="仿宋_GB2312" w:eastAsia="仿宋_GB2312" w:cs="仿宋_GB2312"/>
          <w:sz w:val="30"/>
          <w:szCs w:val="30"/>
          <w:lang w:val="en-US" w:eastAsia="zh-CN"/>
        </w:rPr>
        <w:t>32.9</w:t>
      </w:r>
      <w:r>
        <w:rPr>
          <w:rFonts w:hint="eastAsia" w:ascii="仿宋_GB2312" w:hAnsi="仿宋_GB2312" w:eastAsia="仿宋_GB2312" w:cs="仿宋_GB2312"/>
          <w:sz w:val="30"/>
          <w:szCs w:val="30"/>
        </w:rPr>
        <w:t xml:space="preserve">  万元，完成预算的 </w:t>
      </w:r>
      <w:r>
        <w:rPr>
          <w:rFonts w:hint="eastAsia" w:ascii="仿宋_GB2312" w:hAnsi="仿宋_GB2312" w:eastAsia="仿宋_GB2312" w:cs="仿宋_GB2312"/>
          <w:sz w:val="30"/>
          <w:szCs w:val="30"/>
          <w:lang w:val="en-US" w:eastAsia="zh-CN"/>
        </w:rPr>
        <w:t>91.1</w:t>
      </w:r>
      <w:r>
        <w:rPr>
          <w:rFonts w:hint="eastAsia" w:ascii="仿宋_GB2312" w:hAnsi="仿宋_GB2312" w:eastAsia="仿宋_GB2312" w:cs="仿宋_GB2312"/>
          <w:sz w:val="30"/>
          <w:szCs w:val="30"/>
        </w:rPr>
        <w:t>%，决算数较上年下降</w:t>
      </w:r>
      <w:r>
        <w:rPr>
          <w:rFonts w:hint="eastAsia"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rPr>
        <w:t xml:space="preserve">  %，其中：</w:t>
      </w:r>
    </w:p>
    <w:p>
      <w:pPr>
        <w:numPr>
          <w:ilvl w:val="0"/>
          <w:numId w:val="1"/>
        </w:numPr>
        <w:ind w:firstLine="63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eastAsia="zh-CN"/>
        </w:rPr>
        <w:t>因公出国（境）支出年初预算数为</w:t>
      </w:r>
      <w:r>
        <w:rPr>
          <w:rFonts w:hint="eastAsia" w:ascii="仿宋_GB2312" w:hAnsi="仿宋_GB2312" w:eastAsia="仿宋_GB2312" w:cs="仿宋_GB2312"/>
          <w:b w:val="0"/>
          <w:bCs w:val="0"/>
          <w:sz w:val="30"/>
          <w:szCs w:val="30"/>
          <w:lang w:val="en-US" w:eastAsia="zh-CN"/>
        </w:rPr>
        <w:t xml:space="preserve">  0 万元，决算为  0万元。</w:t>
      </w:r>
    </w:p>
    <w:p>
      <w:pPr>
        <w:numPr>
          <w:ilvl w:val="0"/>
          <w:numId w:val="1"/>
        </w:numPr>
        <w:ind w:firstLine="63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公务接待费支出年初预算数为 23.3  万元，决算数为 23.3 万元，完成预算的100  %，决算数较上年下降1  %。主要原因是：严格控制公务接待。</w:t>
      </w:r>
    </w:p>
    <w:p>
      <w:pPr>
        <w:numPr>
          <w:ilvl w:val="0"/>
          <w:numId w:val="1"/>
        </w:numPr>
        <w:ind w:firstLine="630"/>
        <w:jc w:val="left"/>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公务用车购置及运行维护费支出9.6   万元，其中公务用车购置年初预算数为 0 万元，决算数为 0 万元；公务用车运行维护费支出年初预算数为 12.8  万元，决算数为  9.6万元，完成预算的 75 %，决算数较上年下降26  %。主要原因是：公务用车改革，费用降低。</w:t>
      </w:r>
    </w:p>
    <w:p>
      <w:pPr>
        <w:ind w:firstLine="630"/>
        <w:jc w:val="left"/>
        <w:rPr>
          <w:rFonts w:hint="eastAsia"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、机关运行经费情况说明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本部门201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 xml:space="preserve">年度机关运行经费 </w:t>
      </w:r>
      <w:r>
        <w:rPr>
          <w:rFonts w:hint="eastAsia" w:ascii="仿宋_GB2312" w:hAnsi="仿宋_GB2312" w:eastAsia="仿宋_GB2312" w:cs="仿宋_GB2312"/>
          <w:sz w:val="30"/>
          <w:szCs w:val="30"/>
          <w:lang w:val="en-US" w:eastAsia="zh-CN"/>
        </w:rPr>
        <w:t>77.33</w:t>
      </w:r>
      <w:r>
        <w:rPr>
          <w:rFonts w:hint="eastAsia" w:ascii="仿宋_GB2312" w:hAnsi="仿宋_GB2312" w:eastAsia="仿宋_GB2312" w:cs="仿宋_GB2312"/>
          <w:sz w:val="30"/>
          <w:szCs w:val="30"/>
        </w:rPr>
        <w:t xml:space="preserve">  万元，较上年增长</w:t>
      </w:r>
      <w:r>
        <w:rPr>
          <w:rFonts w:hint="eastAsia" w:ascii="仿宋_GB2312" w:hAnsi="仿宋_GB2312" w:eastAsia="仿宋_GB2312" w:cs="仿宋_GB2312"/>
          <w:sz w:val="30"/>
          <w:szCs w:val="30"/>
          <w:lang w:val="en-US" w:eastAsia="zh-CN"/>
        </w:rPr>
        <w:t>65</w:t>
      </w:r>
      <w:r>
        <w:rPr>
          <w:rFonts w:hint="eastAsia" w:ascii="仿宋_GB2312" w:hAnsi="仿宋_GB2312" w:eastAsia="仿宋_GB2312" w:cs="仿宋_GB2312"/>
          <w:sz w:val="30"/>
          <w:szCs w:val="30"/>
        </w:rPr>
        <w:t xml:space="preserve">  %，主要原因是：</w:t>
      </w:r>
      <w:r>
        <w:rPr>
          <w:rFonts w:hint="eastAsia" w:ascii="仿宋_GB2312" w:hAnsi="仿宋_GB2312" w:eastAsia="仿宋_GB2312" w:cs="仿宋_GB2312"/>
          <w:sz w:val="30"/>
          <w:szCs w:val="30"/>
          <w:lang w:eastAsia="zh-CN"/>
        </w:rPr>
        <w:t>增加了公车补助</w:t>
      </w:r>
      <w:r>
        <w:rPr>
          <w:rFonts w:hint="eastAsia" w:ascii="仿宋_GB2312" w:hAnsi="仿宋_GB2312" w:eastAsia="仿宋_GB2312" w:cs="仿宋_GB2312"/>
          <w:sz w:val="30"/>
          <w:szCs w:val="30"/>
        </w:rPr>
        <w:t xml:space="preserve">。其中：办公费 </w:t>
      </w:r>
      <w:r>
        <w:rPr>
          <w:rFonts w:hint="eastAsia" w:ascii="仿宋_GB2312" w:hAnsi="仿宋_GB2312" w:eastAsia="仿宋_GB2312" w:cs="仿宋_GB2312"/>
          <w:sz w:val="30"/>
          <w:szCs w:val="30"/>
          <w:lang w:val="en-US" w:eastAsia="zh-CN"/>
        </w:rPr>
        <w:t>7.23</w:t>
      </w:r>
      <w:r>
        <w:rPr>
          <w:rFonts w:hint="eastAsia" w:ascii="仿宋_GB2312" w:hAnsi="仿宋_GB2312" w:eastAsia="仿宋_GB2312" w:cs="仿宋_GB2312"/>
          <w:sz w:val="30"/>
          <w:szCs w:val="30"/>
        </w:rPr>
        <w:t xml:space="preserve"> 万元，印刷费 </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 xml:space="preserve"> 万元，</w:t>
      </w:r>
      <w:r>
        <w:rPr>
          <w:rFonts w:hint="eastAsia" w:ascii="仿宋_GB2312" w:hAnsi="仿宋_GB2312" w:eastAsia="仿宋_GB2312" w:cs="仿宋_GB2312"/>
          <w:sz w:val="30"/>
          <w:szCs w:val="30"/>
          <w:lang w:eastAsia="zh-CN"/>
        </w:rPr>
        <w:t>水</w:t>
      </w:r>
      <w:r>
        <w:rPr>
          <w:rFonts w:hint="eastAsia" w:ascii="仿宋_GB2312" w:hAnsi="仿宋_GB2312" w:eastAsia="仿宋_GB2312" w:cs="仿宋_GB2312"/>
          <w:sz w:val="30"/>
          <w:szCs w:val="30"/>
        </w:rPr>
        <w:t>费</w:t>
      </w:r>
      <w:r>
        <w:rPr>
          <w:rFonts w:hint="eastAsia" w:ascii="仿宋_GB2312" w:hAnsi="仿宋_GB2312" w:eastAsia="仿宋_GB2312" w:cs="仿宋_GB2312"/>
          <w:sz w:val="30"/>
          <w:szCs w:val="30"/>
          <w:lang w:val="en-US" w:eastAsia="zh-CN"/>
        </w:rPr>
        <w:t>0.5</w:t>
      </w:r>
      <w:r>
        <w:rPr>
          <w:rFonts w:hint="eastAsia" w:ascii="仿宋_GB2312" w:hAnsi="仿宋_GB2312" w:eastAsia="仿宋_GB2312" w:cs="仿宋_GB2312"/>
          <w:sz w:val="30"/>
          <w:szCs w:val="30"/>
        </w:rPr>
        <w:t xml:space="preserve"> 万元，</w:t>
      </w:r>
      <w:r>
        <w:rPr>
          <w:rFonts w:hint="eastAsia" w:ascii="仿宋_GB2312" w:hAnsi="仿宋_GB2312" w:eastAsia="仿宋_GB2312" w:cs="仿宋_GB2312"/>
          <w:sz w:val="30"/>
          <w:szCs w:val="30"/>
          <w:lang w:eastAsia="zh-CN"/>
        </w:rPr>
        <w:t>电费</w:t>
      </w:r>
      <w:r>
        <w:rPr>
          <w:rFonts w:hint="eastAsia" w:ascii="仿宋_GB2312" w:hAnsi="仿宋_GB2312" w:eastAsia="仿宋_GB2312" w:cs="仿宋_GB2312"/>
          <w:sz w:val="30"/>
          <w:szCs w:val="30"/>
          <w:lang w:val="en-US" w:eastAsia="zh-CN"/>
        </w:rPr>
        <w:t>4.5万元，邮电费7.8万元，差旅费9万元，维修费0.37万元，公务接待费23.3万元，工会经费4.54万元，公务用车运行维护费9.6万元，其他支出5.49万元</w:t>
      </w:r>
      <w:r>
        <w:rPr>
          <w:rFonts w:hint="eastAsia" w:ascii="仿宋_GB2312" w:hAnsi="仿宋_GB2312" w:eastAsia="仿宋_GB2312" w:cs="仿宋_GB2312"/>
          <w:sz w:val="30"/>
          <w:szCs w:val="30"/>
        </w:rPr>
        <w:t>。</w:t>
      </w:r>
    </w:p>
    <w:p>
      <w:pPr>
        <w:ind w:firstLine="630"/>
        <w:jc w:val="left"/>
        <w:rPr>
          <w:rFonts w:hint="eastAsia" w:ascii="仿宋" w:hAnsi="仿宋" w:eastAsia="仿宋"/>
          <w:sz w:val="30"/>
          <w:szCs w:val="30"/>
        </w:rPr>
      </w:pPr>
      <w:r>
        <w:rPr>
          <w:rFonts w:hint="eastAsia" w:ascii="黑体" w:hAnsi="黑体" w:eastAsia="黑体"/>
          <w:sz w:val="30"/>
          <w:szCs w:val="30"/>
        </w:rPr>
        <w:t>六、政府采购支出情况说明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本部门201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年度政府采购支出总额</w:t>
      </w:r>
      <w:r>
        <w:rPr>
          <w:rFonts w:hint="eastAsia" w:ascii="仿宋_GB2312" w:hAnsi="仿宋_GB2312" w:eastAsia="仿宋_GB2312" w:cs="仿宋_GB2312"/>
          <w:sz w:val="30"/>
          <w:szCs w:val="30"/>
          <w:lang w:val="en-US" w:eastAsia="zh-CN"/>
        </w:rPr>
        <w:t xml:space="preserve">2.29  </w:t>
      </w:r>
      <w:r>
        <w:rPr>
          <w:rFonts w:hint="eastAsia" w:ascii="仿宋_GB2312" w:hAnsi="仿宋_GB2312" w:eastAsia="仿宋_GB2312" w:cs="仿宋_GB2312"/>
          <w:sz w:val="30"/>
          <w:szCs w:val="30"/>
        </w:rPr>
        <w:t>万元，其中：政府采购货物支出</w:t>
      </w:r>
      <w:r>
        <w:rPr>
          <w:rFonts w:hint="eastAsia" w:ascii="仿宋_GB2312" w:hAnsi="仿宋_GB2312" w:eastAsia="仿宋_GB2312" w:cs="仿宋_GB2312"/>
          <w:sz w:val="30"/>
          <w:szCs w:val="30"/>
          <w:lang w:val="en-US" w:eastAsia="zh-CN"/>
        </w:rPr>
        <w:t xml:space="preserve">2.29  </w:t>
      </w:r>
      <w:r>
        <w:rPr>
          <w:rFonts w:hint="eastAsia" w:ascii="仿宋_GB2312" w:hAnsi="仿宋_GB2312" w:eastAsia="仿宋_GB2312" w:cs="仿宋_GB2312"/>
          <w:sz w:val="30"/>
          <w:szCs w:val="30"/>
        </w:rPr>
        <w:t>万元、政府采购工程支出</w:t>
      </w:r>
      <w:r>
        <w:rPr>
          <w:rFonts w:hint="eastAsia" w:ascii="仿宋_GB2312" w:hAnsi="仿宋_GB2312" w:eastAsia="仿宋_GB2312" w:cs="仿宋_GB2312"/>
          <w:sz w:val="30"/>
          <w:szCs w:val="30"/>
          <w:lang w:val="en-US" w:eastAsia="zh-CN"/>
        </w:rPr>
        <w:t xml:space="preserve"> 0 </w:t>
      </w:r>
      <w:r>
        <w:rPr>
          <w:rFonts w:hint="eastAsia" w:ascii="仿宋_GB2312" w:hAnsi="仿宋_GB2312" w:eastAsia="仿宋_GB2312" w:cs="仿宋_GB2312"/>
          <w:sz w:val="30"/>
          <w:szCs w:val="30"/>
        </w:rPr>
        <w:t>万元、政府采购服务支出</w:t>
      </w:r>
      <w:r>
        <w:rPr>
          <w:rFonts w:hint="eastAsia" w:ascii="仿宋_GB2312" w:hAnsi="仿宋_GB2312" w:eastAsia="仿宋_GB2312" w:cs="仿宋_GB2312"/>
          <w:sz w:val="30"/>
          <w:szCs w:val="30"/>
          <w:lang w:val="en-US" w:eastAsia="zh-CN"/>
        </w:rPr>
        <w:t xml:space="preserve"> 0 </w:t>
      </w:r>
      <w:r>
        <w:rPr>
          <w:rFonts w:hint="eastAsia" w:ascii="仿宋_GB2312" w:hAnsi="仿宋_GB2312" w:eastAsia="仿宋_GB2312" w:cs="仿宋_GB2312"/>
          <w:sz w:val="30"/>
          <w:szCs w:val="30"/>
        </w:rPr>
        <w:t>万元。授予中小企业合同金额</w:t>
      </w:r>
      <w:r>
        <w:rPr>
          <w:rFonts w:hint="eastAsia" w:ascii="仿宋_GB2312" w:hAnsi="仿宋_GB2312" w:eastAsia="仿宋_GB2312" w:cs="仿宋_GB2312"/>
          <w:sz w:val="30"/>
          <w:szCs w:val="30"/>
          <w:lang w:val="en-US" w:eastAsia="zh-CN"/>
        </w:rPr>
        <w:t xml:space="preserve"> 2.29 </w:t>
      </w:r>
      <w:r>
        <w:rPr>
          <w:rFonts w:hint="eastAsia" w:ascii="仿宋_GB2312" w:hAnsi="仿宋_GB2312" w:eastAsia="仿宋_GB2312" w:cs="仿宋_GB2312"/>
          <w:sz w:val="30"/>
          <w:szCs w:val="30"/>
        </w:rPr>
        <w:t>万元，占政府采购支出总额的</w:t>
      </w:r>
      <w:r>
        <w:rPr>
          <w:rFonts w:hint="eastAsia" w:ascii="仿宋_GB2312" w:hAnsi="仿宋_GB2312" w:eastAsia="仿宋_GB2312" w:cs="仿宋_GB2312"/>
          <w:sz w:val="30"/>
          <w:szCs w:val="30"/>
          <w:lang w:val="en-US" w:eastAsia="zh-CN"/>
        </w:rPr>
        <w:t xml:space="preserve"> 100 </w:t>
      </w:r>
      <w:r>
        <w:rPr>
          <w:rFonts w:hint="eastAsia" w:ascii="仿宋_GB2312" w:hAnsi="仿宋_GB2312" w:eastAsia="仿宋_GB2312" w:cs="仿宋_GB2312"/>
          <w:sz w:val="30"/>
          <w:szCs w:val="30"/>
        </w:rPr>
        <w:t>%，其中：授予小微企业合同金额</w:t>
      </w:r>
      <w:r>
        <w:rPr>
          <w:rFonts w:hint="eastAsia" w:ascii="仿宋_GB2312" w:hAnsi="仿宋_GB2312" w:eastAsia="仿宋_GB2312" w:cs="仿宋_GB2312"/>
          <w:sz w:val="30"/>
          <w:szCs w:val="30"/>
          <w:lang w:val="en-US" w:eastAsia="zh-CN"/>
        </w:rPr>
        <w:t xml:space="preserve"> 2.29 </w:t>
      </w:r>
      <w:r>
        <w:rPr>
          <w:rFonts w:hint="eastAsia" w:ascii="仿宋_GB2312" w:hAnsi="仿宋_GB2312" w:eastAsia="仿宋_GB2312" w:cs="仿宋_GB2312"/>
          <w:sz w:val="30"/>
          <w:szCs w:val="30"/>
        </w:rPr>
        <w:t>万元，占政府采购支出总额的</w:t>
      </w:r>
      <w:r>
        <w:rPr>
          <w:rFonts w:hint="eastAsia" w:ascii="仿宋_GB2312" w:hAnsi="仿宋_GB2312" w:eastAsia="仿宋_GB2312" w:cs="仿宋_GB2312"/>
          <w:sz w:val="30"/>
          <w:szCs w:val="30"/>
          <w:lang w:val="en-US" w:eastAsia="zh-CN"/>
        </w:rPr>
        <w:t xml:space="preserve">100  </w:t>
      </w:r>
      <w:r>
        <w:rPr>
          <w:rFonts w:hint="eastAsia" w:ascii="仿宋_GB2312" w:hAnsi="仿宋_GB2312" w:eastAsia="仿宋_GB2312" w:cs="仿宋_GB2312"/>
          <w:sz w:val="30"/>
          <w:szCs w:val="30"/>
        </w:rPr>
        <w:t>%。（政府采购金额的计算口径为：201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年本部门纳入部门预算范围的各项政府采购支出金额之和，并做好与201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年政府采购信息统计报表中“政府采购资金情况表”有关数据的衔接。）</w:t>
      </w:r>
    </w:p>
    <w:p>
      <w:pPr>
        <w:ind w:firstLine="630"/>
        <w:jc w:val="left"/>
        <w:rPr>
          <w:rFonts w:hint="eastAsia" w:ascii="仿宋" w:hAnsi="仿宋" w:eastAsia="仿宋"/>
          <w:b/>
          <w:bCs/>
          <w:sz w:val="30"/>
          <w:szCs w:val="30"/>
        </w:rPr>
      </w:pPr>
      <w:r>
        <w:rPr>
          <w:rFonts w:hint="eastAsia" w:ascii="黑体" w:hAnsi="黑体" w:eastAsia="黑体"/>
          <w:sz w:val="30"/>
          <w:szCs w:val="30"/>
        </w:rPr>
        <w:t>七、国有资产占用情况说明</w:t>
      </w:r>
    </w:p>
    <w:p>
      <w:pPr>
        <w:ind w:firstLine="63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截至201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年12月31日，本部门共有车辆</w:t>
      </w:r>
      <w:r>
        <w:rPr>
          <w:rFonts w:hint="eastAsia" w:ascii="仿宋_GB2312" w:hAnsi="仿宋_GB2312" w:eastAsia="仿宋_GB2312" w:cs="仿宋_GB2312"/>
          <w:sz w:val="30"/>
          <w:szCs w:val="30"/>
          <w:lang w:val="en-US" w:eastAsia="zh-CN"/>
        </w:rPr>
        <w:t xml:space="preserve"> 7 </w:t>
      </w:r>
      <w:r>
        <w:rPr>
          <w:rFonts w:hint="eastAsia" w:ascii="仿宋_GB2312" w:hAnsi="仿宋_GB2312" w:eastAsia="仿宋_GB2312" w:cs="仿宋_GB2312"/>
          <w:sz w:val="30"/>
          <w:szCs w:val="30"/>
        </w:rPr>
        <w:t>辆，其中，一般公务用车</w:t>
      </w:r>
      <w:r>
        <w:rPr>
          <w:rFonts w:hint="eastAsia" w:ascii="仿宋_GB2312" w:hAnsi="仿宋_GB2312" w:eastAsia="仿宋_GB2312" w:cs="仿宋_GB2312"/>
          <w:sz w:val="30"/>
          <w:szCs w:val="30"/>
          <w:lang w:val="en-US" w:eastAsia="zh-CN"/>
        </w:rPr>
        <w:t xml:space="preserve"> 4 </w:t>
      </w:r>
      <w:r>
        <w:rPr>
          <w:rFonts w:hint="eastAsia" w:ascii="仿宋_GB2312" w:hAnsi="仿宋_GB2312" w:eastAsia="仿宋_GB2312" w:cs="仿宋_GB2312"/>
          <w:sz w:val="30"/>
          <w:szCs w:val="30"/>
        </w:rPr>
        <w:t>辆、其他用车</w:t>
      </w:r>
      <w:r>
        <w:rPr>
          <w:rFonts w:hint="eastAsia" w:ascii="仿宋_GB2312" w:hAnsi="仿宋_GB2312" w:eastAsia="仿宋_GB2312" w:cs="仿宋_GB2312"/>
          <w:sz w:val="30"/>
          <w:szCs w:val="30"/>
          <w:lang w:val="en-US" w:eastAsia="zh-CN"/>
        </w:rPr>
        <w:t xml:space="preserve"> 3 </w:t>
      </w:r>
      <w:r>
        <w:rPr>
          <w:rFonts w:hint="eastAsia" w:ascii="仿宋_GB2312" w:hAnsi="仿宋_GB2312" w:eastAsia="仿宋_GB2312" w:cs="仿宋_GB2312"/>
          <w:sz w:val="30"/>
          <w:szCs w:val="30"/>
        </w:rPr>
        <w:t>辆；单位价值200万元以上大型设备</w:t>
      </w:r>
      <w:r>
        <w:rPr>
          <w:rFonts w:hint="eastAsia" w:ascii="仿宋_GB2312" w:hAnsi="仿宋_GB2312" w:eastAsia="仿宋_GB2312" w:cs="仿宋_GB2312"/>
          <w:sz w:val="30"/>
          <w:szCs w:val="30"/>
          <w:lang w:val="en-US" w:eastAsia="zh-CN"/>
        </w:rPr>
        <w:t xml:space="preserve"> 0 </w:t>
      </w:r>
      <w:r>
        <w:rPr>
          <w:rFonts w:hint="eastAsia" w:ascii="仿宋_GB2312" w:hAnsi="仿宋_GB2312" w:eastAsia="仿宋_GB2312" w:cs="仿宋_GB2312"/>
          <w:sz w:val="30"/>
          <w:szCs w:val="30"/>
        </w:rPr>
        <w:t>台（套）。</w:t>
      </w:r>
    </w:p>
    <w:p>
      <w:pPr>
        <w:ind w:firstLine="630"/>
        <w:jc w:val="left"/>
        <w:rPr>
          <w:rFonts w:hint="eastAsia" w:ascii="仿宋" w:hAnsi="仿宋" w:eastAsia="仿宋"/>
          <w:sz w:val="30"/>
          <w:szCs w:val="30"/>
        </w:rPr>
      </w:pPr>
      <w:r>
        <w:rPr>
          <w:rFonts w:hint="eastAsia" w:ascii="黑体" w:hAnsi="黑体" w:eastAsia="黑体"/>
          <w:sz w:val="30"/>
          <w:szCs w:val="30"/>
        </w:rPr>
        <w:t>八、预算绩效管理工作开展情况说明</w:t>
      </w:r>
    </w:p>
    <w:p>
      <w:pPr>
        <w:spacing w:line="600" w:lineRule="exact"/>
        <w:ind w:firstLine="602"/>
        <w:rPr>
          <w:rFonts w:hint="eastAsia" w:ascii="仿宋_GB2312" w:hAnsi="仿宋" w:eastAsia="仿宋_GB2312"/>
          <w:sz w:val="32"/>
          <w:szCs w:val="32"/>
        </w:rPr>
      </w:pPr>
      <w:r>
        <w:rPr>
          <w:rFonts w:hint="eastAsia" w:ascii="宋体" w:hAnsi="宋体" w:eastAsia="宋体" w:cs="宋体"/>
          <w:b w:val="0"/>
          <w:i w:val="0"/>
          <w:caps w:val="0"/>
          <w:color w:val="000000"/>
          <w:spacing w:val="0"/>
          <w:sz w:val="30"/>
          <w:szCs w:val="30"/>
          <w:shd w:val="clear" w:fill="FFFFFF"/>
        </w:rPr>
        <w:t> </w:t>
      </w:r>
      <w:r>
        <w:rPr>
          <w:rFonts w:ascii="宋体" w:hAnsi="宋体" w:eastAsia="宋体" w:cs="宋体"/>
          <w:b w:val="0"/>
          <w:i w:val="0"/>
          <w:caps w:val="0"/>
          <w:color w:val="000000"/>
          <w:spacing w:val="0"/>
          <w:sz w:val="30"/>
          <w:szCs w:val="30"/>
          <w:shd w:val="clear" w:fill="FFFFFF"/>
        </w:rPr>
        <w:t>2016</w:t>
      </w:r>
      <w:r>
        <w:rPr>
          <w:rFonts w:hint="eastAsia" w:ascii="宋体" w:hAnsi="宋体" w:eastAsia="宋体" w:cs="宋体"/>
          <w:b w:val="0"/>
          <w:i w:val="0"/>
          <w:caps w:val="0"/>
          <w:color w:val="000000"/>
          <w:spacing w:val="0"/>
          <w:sz w:val="30"/>
          <w:szCs w:val="30"/>
          <w:shd w:val="clear" w:fill="FFFFFF"/>
        </w:rPr>
        <w:t>年，我单位以绩效目标实现为导向，进一步加强制度建设，提升自评质量，预算绩效管理取得新成效。一是抓好绩效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了绩效管理工作水平。</w:t>
      </w:r>
    </w:p>
    <w:p>
      <w:pPr>
        <w:widowControl/>
        <w:spacing w:line="600" w:lineRule="exact"/>
        <w:ind w:firstLine="640"/>
        <w:jc w:val="center"/>
        <w:rPr>
          <w:rFonts w:hint="eastAsia" w:ascii="宋体" w:hAnsi="宋体"/>
          <w:b/>
          <w:sz w:val="32"/>
          <w:szCs w:val="32"/>
        </w:rPr>
      </w:pPr>
      <w:r>
        <w:rPr>
          <w:rFonts w:hint="eastAsia" w:ascii="宋体" w:hAnsi="宋体"/>
          <w:b/>
          <w:sz w:val="32"/>
          <w:szCs w:val="32"/>
        </w:rPr>
        <w:t xml:space="preserve">第三部分  </w:t>
      </w:r>
      <w:r>
        <w:rPr>
          <w:rFonts w:hint="eastAsia" w:ascii="宋体" w:hAnsi="宋体"/>
          <w:b/>
          <w:sz w:val="32"/>
          <w:szCs w:val="32"/>
          <w:lang w:eastAsia="zh-CN"/>
        </w:rPr>
        <w:t>奉新县</w:t>
      </w:r>
      <w:bookmarkStart w:id="0" w:name="_GoBack"/>
      <w:bookmarkEnd w:id="0"/>
      <w:r>
        <w:rPr>
          <w:rFonts w:hint="eastAsia" w:ascii="宋体" w:hAnsi="宋体"/>
          <w:b/>
          <w:sz w:val="32"/>
          <w:szCs w:val="32"/>
          <w:lang w:eastAsia="zh-CN"/>
        </w:rPr>
        <w:t>交通运输局</w:t>
      </w:r>
      <w:r>
        <w:rPr>
          <w:rFonts w:hint="eastAsia" w:ascii="宋体" w:hAnsi="宋体"/>
          <w:b/>
          <w:sz w:val="32"/>
          <w:szCs w:val="32"/>
        </w:rPr>
        <w:t>201</w:t>
      </w:r>
      <w:r>
        <w:rPr>
          <w:rFonts w:hint="eastAsia" w:ascii="宋体" w:hAnsi="宋体"/>
          <w:b/>
          <w:sz w:val="32"/>
          <w:szCs w:val="32"/>
          <w:lang w:val="en-US" w:eastAsia="zh-CN"/>
        </w:rPr>
        <w:t>6</w:t>
      </w:r>
      <w:r>
        <w:rPr>
          <w:rFonts w:hint="eastAsia" w:ascii="宋体" w:hAnsi="宋体"/>
          <w:b/>
          <w:sz w:val="32"/>
          <w:szCs w:val="32"/>
        </w:rPr>
        <w:t>年部门决算表</w:t>
      </w:r>
    </w:p>
    <w:p>
      <w:pPr>
        <w:widowControl/>
        <w:spacing w:line="600" w:lineRule="exact"/>
        <w:ind w:firstLine="640"/>
        <w:jc w:val="center"/>
        <w:rPr>
          <w:rFonts w:hint="eastAsia" w:ascii="宋体" w:hAnsi="宋体"/>
          <w:b/>
          <w:sz w:val="32"/>
          <w:szCs w:val="32"/>
        </w:rPr>
      </w:pPr>
    </w:p>
    <w:p>
      <w:pPr>
        <w:widowControl/>
        <w:spacing w:line="60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（详见附表）</w:t>
      </w:r>
    </w:p>
    <w:p>
      <w:pPr>
        <w:widowControl/>
        <w:spacing w:line="600" w:lineRule="exact"/>
        <w:ind w:firstLine="640"/>
        <w:jc w:val="left"/>
        <w:rPr>
          <w:rFonts w:hint="eastAsia" w:ascii="仿宋_GB2312" w:hAnsi="仿宋_GB2312" w:eastAsia="仿宋_GB2312" w:cs="仿宋_GB2312"/>
          <w:sz w:val="32"/>
          <w:szCs w:val="32"/>
        </w:rPr>
      </w:pPr>
    </w:p>
    <w:p>
      <w:pPr>
        <w:widowControl/>
        <w:spacing w:line="600" w:lineRule="exact"/>
        <w:ind w:firstLine="640"/>
        <w:jc w:val="left"/>
        <w:rPr>
          <w:rFonts w:hint="eastAsia" w:ascii="仿宋_GB2312" w:hAnsi="仿宋_GB2312" w:eastAsia="仿宋_GB2312" w:cs="仿宋_GB2312"/>
          <w:sz w:val="32"/>
          <w:szCs w:val="32"/>
        </w:rPr>
      </w:pPr>
    </w:p>
    <w:p>
      <w:pPr>
        <w:widowControl/>
        <w:spacing w:line="600" w:lineRule="exact"/>
        <w:ind w:firstLine="640"/>
        <w:jc w:val="center"/>
        <w:rPr>
          <w:rFonts w:hint="eastAsia" w:ascii="黑体" w:hAnsi="黑体" w:eastAsia="黑体" w:cs="黑体"/>
          <w:sz w:val="32"/>
          <w:szCs w:val="32"/>
          <w:lang w:eastAsia="zh-CN"/>
        </w:rPr>
      </w:pPr>
      <w:r>
        <w:rPr>
          <w:rFonts w:hint="eastAsia" w:ascii="宋体" w:hAnsi="宋体"/>
          <w:b/>
          <w:sz w:val="32"/>
          <w:szCs w:val="32"/>
          <w:lang w:eastAsia="zh-CN"/>
        </w:rPr>
        <w:t>第四部分</w:t>
      </w:r>
      <w:r>
        <w:rPr>
          <w:rFonts w:hint="eastAsia" w:ascii="宋体" w:hAnsi="宋体"/>
          <w:b/>
          <w:sz w:val="32"/>
          <w:szCs w:val="32"/>
          <w:lang w:val="en-US" w:eastAsia="zh-CN"/>
        </w:rPr>
        <w:t xml:space="preserve">  名词解释</w:t>
      </w:r>
    </w:p>
    <w:p>
      <w:pPr>
        <w:pStyle w:val="4"/>
        <w:keepNext w:val="0"/>
        <w:keepLines w:val="0"/>
        <w:widowControl/>
        <w:suppressLineNumbers w:val="0"/>
        <w:spacing w:before="0" w:beforeAutospacing="0" w:after="0" w:afterAutospacing="0" w:line="480" w:lineRule="auto"/>
        <w:ind w:left="0" w:firstLine="420"/>
        <w:rPr>
          <w:rFonts w:hint="eastAsia" w:ascii="宋体" w:hAnsi="宋体" w:eastAsia="宋体" w:cs="宋体"/>
          <w:color w:val="333333"/>
          <w:sz w:val="21"/>
          <w:szCs w:val="21"/>
        </w:rPr>
      </w:pP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财政拨款收入：指单位本年度从</w:t>
      </w:r>
      <w:r>
        <w:rPr>
          <w:rFonts w:hint="eastAsia" w:ascii="仿宋_GB2312" w:hAnsi="仿宋_GB2312" w:eastAsia="仿宋_GB2312" w:cs="仿宋_GB2312"/>
          <w:color w:val="333333"/>
          <w:sz w:val="32"/>
          <w:szCs w:val="32"/>
          <w:lang w:eastAsia="zh-CN"/>
        </w:rPr>
        <w:t>县</w:t>
      </w:r>
      <w:r>
        <w:rPr>
          <w:rFonts w:hint="eastAsia" w:ascii="仿宋_GB2312" w:hAnsi="仿宋_GB2312" w:eastAsia="仿宋_GB2312" w:cs="仿宋_GB2312"/>
          <w:color w:val="333333"/>
          <w:sz w:val="32"/>
          <w:szCs w:val="32"/>
        </w:rPr>
        <w:t xml:space="preserve">级财政部门取得的财政拨款。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上级补助收入：指事业单位从主管部门和上级单位取得的非财政补助收入。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事业收入：指事业单位开展专业业务活动及其辅助活动取得的收入，事业单位收到的财政专户实际核拨的教育收费等资金在此反映。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经营收入：指事业单位在专业业务活动及其辅助活动之外开展非独立核算经营活动取得的收入。</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附属单位缴款：指事业单位附属独立核算单位按照有关规定上缴的收入。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其他收入：指单位取得的除上述“财政拨款收入”、“事业收入”、“经营收入”等以外的各项收入。</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用事业基金弥补收支差额：指事业单位用事业基金弥补当年收支差额的数额。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年初结转和结余：指单位上年结转本年使用的基本支出结转、项目支出结转和结余和经营结余。</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结余分配：指事业单位按规定对非财政补助结余资金提取的职工福利基金、事业基金和缴纳的所得税，以及减少单位按规定应缴回的基本建设竣工项目结余资金。</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年末结转和结余资金：指本年度或以前年度预算安排、因客观条件发生变化无法按原计划实施，需要延迟到以后年度按有关规定继续使用的资金。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基本支出：指为保障机构正常运转、完成日常工作任务而发生的人员支出和公用支出。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项目支出：指在基本支出之外为完成特定的行政任务或事业发展目标所发生的支出。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上缴上级支出：指事业单位按照财政部门和主管部门的规定上缴上级单位的支出。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经营支出：指事业单位在专业业务活动及其辅助活动之外开展非独立核算经营活动发生的支出。</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对附属单位补助支出：指事业单位用财政补助收入之外的收入对附属单位补助发生的支出。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“三公”经费：指</w:t>
      </w:r>
      <w:r>
        <w:rPr>
          <w:rFonts w:hint="eastAsia" w:ascii="仿宋_GB2312" w:hAnsi="仿宋_GB2312" w:eastAsia="仿宋_GB2312" w:cs="仿宋_GB2312"/>
          <w:color w:val="333333"/>
          <w:sz w:val="32"/>
          <w:szCs w:val="32"/>
          <w:lang w:eastAsia="zh-CN"/>
        </w:rPr>
        <w:t>各</w:t>
      </w:r>
      <w:r>
        <w:rPr>
          <w:rFonts w:hint="eastAsia" w:ascii="仿宋_GB2312" w:hAnsi="仿宋_GB2312" w:eastAsia="仿宋_GB2312" w:cs="仿宋_GB2312"/>
          <w:color w:val="333333"/>
          <w:sz w:val="32"/>
          <w:szCs w:val="32"/>
        </w:rPr>
        <w:t xml:space="preserve">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pPr>
        <w:pStyle w:val="4"/>
        <w:keepNext w:val="0"/>
        <w:keepLines w:val="0"/>
        <w:widowControl/>
        <w:suppressLineNumbers w:val="0"/>
        <w:spacing w:before="0" w:beforeAutospacing="0" w:after="0" w:afterAutospacing="0"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rPr>
        <w:t xml:space="preserve">机关运行经费：指为保障行政单位（含参照公务员法管理的事业单位）运行用于购买货物和服务的各项资金，包括办公费、印刷费、差旅费、会议费、日常维修费、专用材料及办公用房水电费、物业管理费、公务用车运行维护费等。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一般公共服务（类）财政事务（款）行政运行（项）：指财政厅行政单位及参照公务员法管理的事业单位，用于保障机构正常运行、开展日常工作的基本支出。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社会保障和就业支出（类）行政事业单位离退休（款）事业单位离退休（项）：指实行归口管理的事业单位开支的离退休经费。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社会保障和就业支出（类）行政事业单位离退休（款）</w:t>
      </w:r>
      <w:r>
        <w:rPr>
          <w:rFonts w:hint="eastAsia" w:ascii="仿宋_GB2312" w:hAnsi="仿宋_GB2312" w:eastAsia="仿宋_GB2312" w:cs="仿宋_GB2312"/>
          <w:sz w:val="32"/>
          <w:szCs w:val="32"/>
          <w:lang w:eastAsia="zh-CN"/>
        </w:rPr>
        <w:t>行政</w:t>
      </w:r>
      <w:r>
        <w:rPr>
          <w:rFonts w:hint="eastAsia" w:ascii="仿宋_GB2312" w:hAnsi="仿宋_GB2312" w:eastAsia="仿宋_GB2312" w:cs="仿宋_GB2312"/>
          <w:sz w:val="32"/>
          <w:szCs w:val="32"/>
        </w:rPr>
        <w:t>单位离退休（项）：指未归口管理的行政单位开支的离退休经费。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社会保障和就业支出（类）行政事业单位离退休（款）机关事业单位基本养老保险缴费支出（项）：指机关事业单位实施养老保险制度由单位缴纳的基本养老保险支出。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医疗卫生和计划生育支出（类）行政事业单位医疗（款）行政单位医疗（项）：指财政部门集中安排的行政单位基本医疗保险缴费经费，未参加医疗保险的行政单位的公费医疗经费，按国家规定享受离休人员、红军老战士待遇人员的医疗经费。</w:t>
      </w:r>
    </w:p>
    <w:p>
      <w:pPr>
        <w:ind w:firstLine="640" w:firstLineChars="200"/>
        <w:rPr>
          <w:rFonts w:hint="eastAsia" w:eastAsiaTheme="minorEastAsia"/>
          <w:lang w:eastAsia="zh-CN"/>
        </w:rPr>
      </w:pPr>
      <w:r>
        <w:rPr>
          <w:rFonts w:hint="eastAsia" w:ascii="仿宋_GB2312" w:hAnsi="仿宋_GB2312" w:eastAsia="仿宋_GB2312" w:cs="仿宋_GB2312"/>
          <w:sz w:val="32"/>
          <w:szCs w:val="32"/>
        </w:rPr>
        <w:t>住房保障支出（类）住房改革支出（款）购房补贴（项）：指按房改政策规定，向符合条件的职工发放用于购买住房的补贴。</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3000509000000000000"/>
    <w:charset w:val="86"/>
    <w:family w:val="script"/>
    <w:pitch w:val="default"/>
    <w:sig w:usb0="00000000" w:usb1="00000000" w:usb2="00000010" w:usb3="00000000" w:csb0="00040000" w:csb1="00000000"/>
  </w:font>
  <w:font w:name="宋体-18030">
    <w:altName w:val="微软雅黑"/>
    <w:panose1 w:val="02010609060101010101"/>
    <w:charset w:val="86"/>
    <w:family w:val="auto"/>
    <w:pitch w:val="default"/>
    <w:sig w:usb0="00000000" w:usb1="00000000" w:usb2="000A005E"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新宋体-18030">
    <w:altName w:val="微软雅黑"/>
    <w:panose1 w:val="02010609060101010101"/>
    <w:charset w:val="86"/>
    <w:family w:val="auto"/>
    <w:pitch w:val="default"/>
    <w:sig w:usb0="00000000" w:usb1="00000000" w:usb2="000A005E" w:usb3="00000000" w:csb0="00040001" w:csb1="00000000"/>
  </w:font>
  <w:font w:name="Microsoft Sans Serif">
    <w:panose1 w:val="020B0604020202020204"/>
    <w:charset w:val="00"/>
    <w:family w:val="auto"/>
    <w:pitch w:val="default"/>
    <w:sig w:usb0="E1002AFF" w:usb1="C0000002" w:usb2="00000008" w:usb3="00000000" w:csb0="200101FF" w:csb1="20280000"/>
  </w:font>
  <w:font w:name="Kartika">
    <w:panose1 w:val="02020503030404060203"/>
    <w:charset w:val="00"/>
    <w:family w:val="auto"/>
    <w:pitch w:val="default"/>
    <w:sig w:usb0="00800003" w:usb1="00000000" w:usb2="00000000" w:usb3="00000000" w:csb0="00000001" w:csb1="00000000"/>
  </w:font>
  <w:font w:name="Gautami">
    <w:panose1 w:val="020B0502040204020203"/>
    <w:charset w:val="00"/>
    <w:family w:val="auto"/>
    <w:pitch w:val="default"/>
    <w:sig w:usb0="00200003" w:usb1="00000000" w:usb2="00000000" w:usb3="00000000" w:csb0="00000001" w:csb1="00000000"/>
  </w:font>
  <w:font w:name="Fixed Miriam Transparent">
    <w:altName w:val="Miriam Fixed"/>
    <w:panose1 w:val="00000009000000000000"/>
    <w:charset w:val="00"/>
    <w:family w:val="auto"/>
    <w:pitch w:val="default"/>
    <w:sig w:usb0="00000000" w:usb1="00000000" w:usb2="00000000" w:usb3="00000000" w:csb0="00000020" w:csb1="00000000"/>
  </w:font>
  <w:font w:name="Constantia">
    <w:panose1 w:val="02030602050306030303"/>
    <w:charset w:val="00"/>
    <w:family w:val="auto"/>
    <w:pitch w:val="default"/>
    <w:sig w:usb0="A00002EF" w:usb1="4000204B" w:usb2="00000000" w:usb3="00000000" w:csb0="2000019F" w:csb1="00000000"/>
  </w:font>
  <w:font w:name="Verdana">
    <w:panose1 w:val="020B0604030504040204"/>
    <w:charset w:val="00"/>
    <w:family w:val="swiss"/>
    <w:pitch w:val="default"/>
    <w:sig w:usb0="A10006FF" w:usb1="4000205B" w:usb2="00000010"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Miriam Fixed">
    <w:panose1 w:val="020B0509050101010101"/>
    <w:charset w:val="00"/>
    <w:family w:val="auto"/>
    <w:pitch w:val="default"/>
    <w:sig w:usb0="00000801" w:usb1="00000000" w:usb2="00000000" w:usb3="00000000" w:csb0="00000020" w:csb1="002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9CE9FC"/>
    <w:multiLevelType w:val="singleLevel"/>
    <w:tmpl w:val="599CE9F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E5735"/>
    <w:rsid w:val="00594A76"/>
    <w:rsid w:val="010B5EEE"/>
    <w:rsid w:val="0117300A"/>
    <w:rsid w:val="039972CB"/>
    <w:rsid w:val="03B33117"/>
    <w:rsid w:val="03D4010D"/>
    <w:rsid w:val="040C649E"/>
    <w:rsid w:val="04E63DD0"/>
    <w:rsid w:val="05D02CCA"/>
    <w:rsid w:val="07060F0F"/>
    <w:rsid w:val="07FE6E25"/>
    <w:rsid w:val="09770C19"/>
    <w:rsid w:val="09EB2AF5"/>
    <w:rsid w:val="0ABA5574"/>
    <w:rsid w:val="0ABC53CC"/>
    <w:rsid w:val="0AF66A7C"/>
    <w:rsid w:val="0C4B6EBD"/>
    <w:rsid w:val="0DA226A1"/>
    <w:rsid w:val="0E0241B4"/>
    <w:rsid w:val="0EAC3A73"/>
    <w:rsid w:val="10051086"/>
    <w:rsid w:val="10090CC1"/>
    <w:rsid w:val="10A234E0"/>
    <w:rsid w:val="11501AF9"/>
    <w:rsid w:val="12315E7C"/>
    <w:rsid w:val="13197C12"/>
    <w:rsid w:val="135B75E3"/>
    <w:rsid w:val="13654321"/>
    <w:rsid w:val="13867DAF"/>
    <w:rsid w:val="14B400B6"/>
    <w:rsid w:val="15056C3E"/>
    <w:rsid w:val="16596B00"/>
    <w:rsid w:val="16F6551C"/>
    <w:rsid w:val="180E7C6A"/>
    <w:rsid w:val="188F0E3B"/>
    <w:rsid w:val="189A2CE7"/>
    <w:rsid w:val="192C2301"/>
    <w:rsid w:val="1A752B38"/>
    <w:rsid w:val="1CCE2330"/>
    <w:rsid w:val="1D1417A2"/>
    <w:rsid w:val="213B63B1"/>
    <w:rsid w:val="21A355C0"/>
    <w:rsid w:val="21EB44BA"/>
    <w:rsid w:val="22215FEC"/>
    <w:rsid w:val="22BB77BF"/>
    <w:rsid w:val="248170F9"/>
    <w:rsid w:val="26C778AB"/>
    <w:rsid w:val="292973C3"/>
    <w:rsid w:val="297C1E44"/>
    <w:rsid w:val="29807378"/>
    <w:rsid w:val="2A903615"/>
    <w:rsid w:val="2AE90B32"/>
    <w:rsid w:val="2C9504BB"/>
    <w:rsid w:val="2DB76AE7"/>
    <w:rsid w:val="2E964C51"/>
    <w:rsid w:val="2EDB7F84"/>
    <w:rsid w:val="2F91791F"/>
    <w:rsid w:val="304578E1"/>
    <w:rsid w:val="3066470C"/>
    <w:rsid w:val="310F6DAE"/>
    <w:rsid w:val="316C643E"/>
    <w:rsid w:val="31873C70"/>
    <w:rsid w:val="31AB505C"/>
    <w:rsid w:val="328146BC"/>
    <w:rsid w:val="339424B3"/>
    <w:rsid w:val="35315B20"/>
    <w:rsid w:val="36073ECE"/>
    <w:rsid w:val="367720EA"/>
    <w:rsid w:val="3729614E"/>
    <w:rsid w:val="37632327"/>
    <w:rsid w:val="37F65367"/>
    <w:rsid w:val="381354D9"/>
    <w:rsid w:val="38E21C49"/>
    <w:rsid w:val="38F52A05"/>
    <w:rsid w:val="3E0C2673"/>
    <w:rsid w:val="3EE9342D"/>
    <w:rsid w:val="3FD0663A"/>
    <w:rsid w:val="406D7BA4"/>
    <w:rsid w:val="414373E9"/>
    <w:rsid w:val="42D03033"/>
    <w:rsid w:val="42E745F7"/>
    <w:rsid w:val="44755F65"/>
    <w:rsid w:val="45EE1584"/>
    <w:rsid w:val="465C3EB2"/>
    <w:rsid w:val="46E26169"/>
    <w:rsid w:val="470E30FB"/>
    <w:rsid w:val="47A27234"/>
    <w:rsid w:val="47AC39FF"/>
    <w:rsid w:val="487D46D0"/>
    <w:rsid w:val="499053D8"/>
    <w:rsid w:val="4B4E7425"/>
    <w:rsid w:val="4B53473E"/>
    <w:rsid w:val="4B9135B8"/>
    <w:rsid w:val="4B9D1886"/>
    <w:rsid w:val="4CE013CF"/>
    <w:rsid w:val="4D376C17"/>
    <w:rsid w:val="4EC6637F"/>
    <w:rsid w:val="4F61489D"/>
    <w:rsid w:val="4FEF0955"/>
    <w:rsid w:val="517211D3"/>
    <w:rsid w:val="539C1DDA"/>
    <w:rsid w:val="54797E82"/>
    <w:rsid w:val="54FC3D62"/>
    <w:rsid w:val="55E96384"/>
    <w:rsid w:val="55F944F8"/>
    <w:rsid w:val="5605035C"/>
    <w:rsid w:val="56F51B67"/>
    <w:rsid w:val="57E643FB"/>
    <w:rsid w:val="593F65EF"/>
    <w:rsid w:val="595E2715"/>
    <w:rsid w:val="5D4301CC"/>
    <w:rsid w:val="5DDC3389"/>
    <w:rsid w:val="5E0A0B2E"/>
    <w:rsid w:val="5E930354"/>
    <w:rsid w:val="5F126564"/>
    <w:rsid w:val="5F5F38A1"/>
    <w:rsid w:val="5FF16AF4"/>
    <w:rsid w:val="600D4853"/>
    <w:rsid w:val="60607EBD"/>
    <w:rsid w:val="60D735FB"/>
    <w:rsid w:val="62881836"/>
    <w:rsid w:val="63262C9E"/>
    <w:rsid w:val="6374226D"/>
    <w:rsid w:val="637B7546"/>
    <w:rsid w:val="650150F9"/>
    <w:rsid w:val="66037CB4"/>
    <w:rsid w:val="66131247"/>
    <w:rsid w:val="664E5735"/>
    <w:rsid w:val="66F508BD"/>
    <w:rsid w:val="674657D4"/>
    <w:rsid w:val="683B230D"/>
    <w:rsid w:val="694E2BA4"/>
    <w:rsid w:val="698E4790"/>
    <w:rsid w:val="6B6771A4"/>
    <w:rsid w:val="6BD51EED"/>
    <w:rsid w:val="6DEF6BDA"/>
    <w:rsid w:val="6E3C6392"/>
    <w:rsid w:val="6E4A0C22"/>
    <w:rsid w:val="6EA703F4"/>
    <w:rsid w:val="6FDA785C"/>
    <w:rsid w:val="70F075FD"/>
    <w:rsid w:val="717D3856"/>
    <w:rsid w:val="736F2E99"/>
    <w:rsid w:val="74AF6142"/>
    <w:rsid w:val="75080220"/>
    <w:rsid w:val="752B7940"/>
    <w:rsid w:val="754A4471"/>
    <w:rsid w:val="75F6689A"/>
    <w:rsid w:val="767F2D24"/>
    <w:rsid w:val="77290AF1"/>
    <w:rsid w:val="77860C95"/>
    <w:rsid w:val="78961742"/>
    <w:rsid w:val="7A947F22"/>
    <w:rsid w:val="7B153031"/>
    <w:rsid w:val="7B2942E0"/>
    <w:rsid w:val="7B7754A3"/>
    <w:rsid w:val="7B974BF4"/>
    <w:rsid w:val="7C59394B"/>
    <w:rsid w:val="7CCD438D"/>
    <w:rsid w:val="7DC173AD"/>
    <w:rsid w:val="7FD23FD9"/>
    <w:rsid w:val="7FFC3E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333333"/>
      <w:u w:val="none"/>
    </w:rPr>
  </w:style>
  <w:style w:type="paragraph" w:customStyle="1" w:styleId="8">
    <w:name w:val="_Style 2"/>
    <w:qFormat/>
    <w:uiPriority w:val="1"/>
    <w:rPr>
      <w:rFonts w:ascii="Calibri" w:hAnsi="Calibri" w:eastAsiaTheme="minorEastAsia" w:cstheme="minorBidi"/>
      <w:sz w:val="22"/>
      <w:szCs w:val="22"/>
      <w:lang w:val="en-US" w:eastAsia="zh-CN" w:bidi="ar-SA"/>
    </w:rPr>
  </w:style>
  <w:style w:type="character" w:customStyle="1" w:styleId="9">
    <w:name w:val="bds_more"/>
    <w:basedOn w:val="5"/>
    <w:qFormat/>
    <w:uiPriority w:val="0"/>
  </w:style>
  <w:style w:type="character" w:customStyle="1" w:styleId="10">
    <w:name w:val="bds_more1"/>
    <w:basedOn w:val="5"/>
    <w:qFormat/>
    <w:uiPriority w:val="0"/>
    <w:rPr>
      <w:rFonts w:hint="eastAsia" w:ascii="宋体" w:hAnsi="宋体" w:eastAsia="宋体" w:cs="宋体"/>
    </w:rPr>
  </w:style>
  <w:style w:type="character" w:customStyle="1" w:styleId="11">
    <w:name w:val="bds_more2"/>
    <w:basedOn w:val="5"/>
    <w:qFormat/>
    <w:uiPriority w:val="0"/>
  </w:style>
  <w:style w:type="character" w:customStyle="1" w:styleId="12">
    <w:name w:val="bds_nopic"/>
    <w:basedOn w:val="5"/>
    <w:qFormat/>
    <w:uiPriority w:val="0"/>
  </w:style>
  <w:style w:type="character" w:customStyle="1" w:styleId="13">
    <w:name w:val="bds_nopic1"/>
    <w:basedOn w:val="5"/>
    <w:qFormat/>
    <w:uiPriority w:val="0"/>
  </w:style>
  <w:style w:type="character" w:customStyle="1" w:styleId="14">
    <w:name w:val="bds_nopic2"/>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2016-08-30T08:39:00Z</dcterms:created>
  <dc:creator>fxcz</dc:creator>
  <cp:lastModifiedBy>lenovo</cp:lastModifiedBy>
  <cp:lastPrinted>2016-09-01T02:25:00Z</cp:lastPrinted>
  <dcterms:modified xsi:type="dcterms:W3CDTF">2017-09-04T09:46:12Z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