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030" w:type="dxa"/>
        <w:tblInd w:w="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900"/>
        <w:gridCol w:w="1320"/>
        <w:gridCol w:w="975"/>
        <w:gridCol w:w="690"/>
        <w:gridCol w:w="1170"/>
        <w:gridCol w:w="825"/>
        <w:gridCol w:w="16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</w:rPr>
              <w:t>附件</w:t>
            </w:r>
            <w:r>
              <w:rPr>
                <w:rFonts w:ascii="黑体" w:hAnsi="黑体" w:eastAsia="黑体" w:cs="黑体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仿宋" w:eastAsia="方正小标宋简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仿宋" w:eastAsia="方正小标宋简体" w:cs="方正小标宋简体"/>
                <w:color w:val="000000"/>
                <w:kern w:val="0"/>
                <w:sz w:val="44"/>
                <w:szCs w:val="44"/>
              </w:rPr>
              <w:t>项目支出绩效评价报告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color w:val="000000"/>
                <w:sz w:val="28"/>
                <w:szCs w:val="28"/>
              </w:rPr>
            </w:pP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项目名称：</w:t>
            </w:r>
          </w:p>
        </w:tc>
        <w:tc>
          <w:tcPr>
            <w:tcW w:w="756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rFonts w:hint="eastAsia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lang w:eastAsia="zh-CN"/>
              </w:rPr>
              <w:t>行政中心大楼水电经费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color w:val="000000"/>
                <w:sz w:val="28"/>
                <w:szCs w:val="28"/>
              </w:rPr>
            </w:pP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项目类别：</w:t>
            </w:r>
          </w:p>
        </w:tc>
        <w:tc>
          <w:tcPr>
            <w:tcW w:w="756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left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经建类</w:t>
            </w:r>
            <w:r>
              <w:rPr>
                <w:color w:val="000000"/>
                <w:kern w:val="0"/>
                <w:sz w:val="28"/>
                <w:szCs w:val="28"/>
              </w:rPr>
              <w:t xml:space="preserve">       □</w:t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社会事业类</w:t>
            </w:r>
            <w:r>
              <w:rPr>
                <w:color w:val="000000"/>
                <w:kern w:val="0"/>
                <w:sz w:val="28"/>
                <w:szCs w:val="28"/>
              </w:rPr>
              <w:t xml:space="preserve">       </w:t>
            </w:r>
            <w:r>
              <w:rPr>
                <w:color w:val="000000"/>
                <w:kern w:val="0"/>
                <w:sz w:val="28"/>
                <w:szCs w:val="28"/>
              </w:rPr>
              <w:sym w:font="Wingdings 2" w:char="0052"/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其他类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color w:val="000000"/>
                <w:sz w:val="28"/>
                <w:szCs w:val="28"/>
              </w:rPr>
            </w:pP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项目单位：</w:t>
            </w:r>
          </w:p>
        </w:tc>
        <w:tc>
          <w:tcPr>
            <w:tcW w:w="5880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rFonts w:hint="eastAsia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lang w:eastAsia="zh-CN"/>
              </w:rPr>
              <w:t>奉新县机关事务管理局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right"/>
              <w:textAlignment w:val="bottom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盖章</w:t>
            </w:r>
            <w:r>
              <w:rPr>
                <w:color w:val="000000"/>
                <w:kern w:val="0"/>
                <w:sz w:val="28"/>
                <w:szCs w:val="28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right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color w:val="000000"/>
                <w:sz w:val="28"/>
                <w:szCs w:val="28"/>
              </w:rPr>
            </w:pP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评价机构：</w:t>
            </w:r>
          </w:p>
        </w:tc>
        <w:tc>
          <w:tcPr>
            <w:tcW w:w="756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left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中介机构</w:t>
            </w:r>
            <w:r>
              <w:rPr>
                <w:color w:val="000000"/>
                <w:kern w:val="0"/>
                <w:sz w:val="28"/>
                <w:szCs w:val="28"/>
              </w:rPr>
              <w:t xml:space="preserve">       □</w:t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专家组</w:t>
            </w:r>
            <w:r>
              <w:rPr>
                <w:color w:val="000000"/>
                <w:kern w:val="0"/>
                <w:sz w:val="28"/>
                <w:szCs w:val="28"/>
              </w:rPr>
              <w:t xml:space="preserve">      </w:t>
            </w:r>
            <w:r>
              <w:rPr>
                <w:color w:val="000000"/>
                <w:kern w:val="0"/>
                <w:sz w:val="28"/>
                <w:szCs w:val="28"/>
              </w:rPr>
              <w:sym w:font="Wingdings 2" w:char="0052"/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单位评价组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color w:val="000000"/>
                <w:sz w:val="28"/>
                <w:szCs w:val="28"/>
              </w:rPr>
            </w:pP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评价年度：</w:t>
            </w:r>
          </w:p>
        </w:tc>
        <w:tc>
          <w:tcPr>
            <w:tcW w:w="5880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rFonts w:hint="default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>2020年度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color w:val="000000"/>
                <w:sz w:val="28"/>
                <w:szCs w:val="28"/>
              </w:rPr>
            </w:pP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主管部门：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3660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center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eastAsia="zh-CN"/>
              </w:rPr>
              <w:t>奉新县机关事务管理局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   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600" w:lineRule="exact"/>
              <w:jc w:val="left"/>
              <w:textAlignment w:val="bottom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hint="eastAsia" w:cs="仿宋_GB2312"/>
                <w:color w:val="000000"/>
                <w:kern w:val="0"/>
                <w:sz w:val="28"/>
                <w:szCs w:val="28"/>
              </w:rPr>
              <w:t>盖章</w:t>
            </w:r>
            <w:r>
              <w:rPr>
                <w:color w:val="000000"/>
                <w:kern w:val="0"/>
                <w:sz w:val="28"/>
                <w:szCs w:val="28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600" w:lineRule="exact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cs="仿宋_GB2312"/>
                <w:color w:val="000000"/>
                <w:kern w:val="0"/>
                <w:lang w:val="en-US" w:eastAsia="zh-CN"/>
              </w:rPr>
              <w:t>2020</w:t>
            </w:r>
            <w:r>
              <w:rPr>
                <w:rFonts w:hint="eastAsia" w:cs="仿宋_GB2312"/>
                <w:color w:val="000000"/>
                <w:kern w:val="0"/>
              </w:rPr>
              <w:t>年</w:t>
            </w:r>
            <w:r>
              <w:rPr>
                <w:color w:val="000000"/>
                <w:kern w:val="0"/>
              </w:rPr>
              <w:t xml:space="preserve">  </w:t>
            </w:r>
            <w:r>
              <w:rPr>
                <w:rFonts w:hint="eastAsia"/>
                <w:color w:val="000000"/>
                <w:kern w:val="0"/>
                <w:lang w:val="en-US" w:eastAsia="zh-CN"/>
              </w:rPr>
              <w:t>12</w:t>
            </w:r>
            <w:r>
              <w:rPr>
                <w:color w:val="000000"/>
                <w:kern w:val="0"/>
              </w:rPr>
              <w:t xml:space="preserve">  </w:t>
            </w:r>
            <w:r>
              <w:rPr>
                <w:rFonts w:hint="eastAsia" w:cs="仿宋_GB2312"/>
                <w:color w:val="000000"/>
                <w:kern w:val="0"/>
              </w:rPr>
              <w:t>月</w:t>
            </w:r>
            <w:r>
              <w:rPr>
                <w:color w:val="000000"/>
                <w:kern w:val="0"/>
              </w:rPr>
              <w:t xml:space="preserve"> </w:t>
            </w:r>
            <w:r>
              <w:rPr>
                <w:rFonts w:hint="eastAsia"/>
                <w:color w:val="000000"/>
                <w:kern w:val="0"/>
                <w:lang w:val="en-US" w:eastAsia="zh-CN"/>
              </w:rPr>
              <w:t>28</w:t>
            </w:r>
            <w:r>
              <w:rPr>
                <w:color w:val="000000"/>
                <w:kern w:val="0"/>
              </w:rPr>
              <w:t xml:space="preserve">  </w:t>
            </w:r>
            <w:r>
              <w:rPr>
                <w:rFonts w:hint="eastAsia" w:cs="仿宋_GB2312"/>
                <w:color w:val="000000"/>
                <w:kern w:val="0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</w:tbl>
    <w:p/>
    <w:p>
      <w:pPr>
        <w:pStyle w:val="2"/>
        <w:ind w:left="0" w:leftChars="0" w:firstLine="0" w:firstLineChars="0"/>
        <w:jc w:val="center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项目支出绩效评价报告</w:t>
      </w:r>
    </w:p>
    <w:p>
      <w:pPr>
        <w:pStyle w:val="2"/>
        <w:spacing w:line="560" w:lineRule="exact"/>
        <w:ind w:left="0" w:leftChars="0" w:firstLine="31680"/>
        <w:rPr>
          <w:rFonts w:ascii="黑体" w:hAnsi="黑体" w:eastAsia="黑体"/>
        </w:rPr>
      </w:pPr>
    </w:p>
    <w:p>
      <w:pPr>
        <w:pStyle w:val="2"/>
        <w:spacing w:line="560" w:lineRule="exact"/>
        <w:ind w:left="0" w:leftChars="0" w:firstLine="31680"/>
        <w:rPr>
          <w:rFonts w:ascii="黑体" w:hAnsi="黑体" w:eastAsia="黑体"/>
        </w:rPr>
      </w:pPr>
      <w:r>
        <w:rPr>
          <w:rFonts w:hint="eastAsia" w:ascii="黑体" w:hAnsi="黑体" w:eastAsia="黑体" w:cs="黑体"/>
        </w:rPr>
        <w:t>一、基本情况</w:t>
      </w:r>
    </w:p>
    <w:p>
      <w:pPr>
        <w:spacing w:line="560" w:lineRule="exact"/>
        <w:ind w:firstLine="643" w:firstLineChars="200"/>
        <w:rPr>
          <w:rFonts w:ascii="楷体" w:hAnsi="楷体" w:eastAsia="楷体" w:cs="黑体"/>
          <w:b/>
        </w:rPr>
      </w:pPr>
      <w:r>
        <w:rPr>
          <w:rFonts w:hint="eastAsia" w:ascii="楷体" w:hAnsi="楷体" w:eastAsia="楷体" w:cs="黑体"/>
          <w:b/>
        </w:rPr>
        <w:t>（一）单位基本情况</w:t>
      </w:r>
    </w:p>
    <w:p>
      <w:pPr>
        <w:pStyle w:val="4"/>
        <w:shd w:val="clear" w:color="auto" w:fill="FFFFFF"/>
        <w:spacing w:before="0" w:beforeAutospacing="0" w:after="0" w:afterAutospacing="0" w:line="485" w:lineRule="atLeast"/>
        <w:ind w:firstLine="580" w:firstLineChars="200"/>
        <w:jc w:val="both"/>
        <w:rPr>
          <w:rFonts w:hint="eastAsia" w:ascii="微软雅黑" w:hAnsi="微软雅黑" w:eastAsia="微软雅黑"/>
          <w:color w:val="333333"/>
        </w:rPr>
      </w:pPr>
      <w:r>
        <w:rPr>
          <w:rFonts w:hint="eastAsia" w:ascii="仿宋" w:hAnsi="仿宋" w:eastAsia="仿宋"/>
          <w:color w:val="333333"/>
          <w:sz w:val="29"/>
          <w:szCs w:val="29"/>
        </w:rPr>
        <w:t>奉新县机关事务管理局共有预算单位1个，包括局本级。编制人数17人，其中：参照公务员管理事业编制9人、全额事业编制8人，实有人数29人。其中：在职人数18人，事业执行公务员人员10人、全额事业人员8人、退休人员11人。</w:t>
      </w:r>
    </w:p>
    <w:p>
      <w:pPr>
        <w:pStyle w:val="2"/>
        <w:spacing w:line="560" w:lineRule="exact"/>
        <w:ind w:left="0" w:leftChars="0" w:firstLine="31680"/>
        <w:rPr>
          <w:rFonts w:ascii="黑体" w:hAnsi="黑体" w:eastAsia="黑体"/>
        </w:rPr>
      </w:pPr>
      <w:r>
        <w:rPr>
          <w:rFonts w:hint="eastAsia" w:ascii="黑体" w:hAnsi="黑体" w:eastAsia="黑体" w:cs="黑体"/>
        </w:rPr>
        <w:t>二、绩效评价工作开展情况</w:t>
      </w:r>
    </w:p>
    <w:p>
      <w:pPr>
        <w:spacing w:line="560" w:lineRule="exact"/>
        <w:ind w:firstLine="643" w:firstLineChars="200"/>
        <w:rPr>
          <w:rFonts w:ascii="楷体" w:hAnsi="楷体" w:eastAsia="楷体" w:cs="黑体"/>
          <w:b/>
        </w:rPr>
      </w:pPr>
      <w:r>
        <w:rPr>
          <w:rFonts w:hint="eastAsia" w:ascii="楷体" w:hAnsi="楷体" w:eastAsia="楷体" w:cs="黑体"/>
          <w:b/>
        </w:rPr>
        <w:t>（一）绩效评价目的</w:t>
      </w:r>
    </w:p>
    <w:p>
      <w:pPr>
        <w:spacing w:line="600" w:lineRule="exact"/>
        <w:ind w:firstLine="640" w:firstLineChars="200"/>
        <w:rPr>
          <w:rFonts w:ascii="仿宋_GB2312"/>
        </w:rPr>
      </w:pPr>
      <w:r>
        <w:rPr>
          <w:rFonts w:hint="eastAsia" w:ascii="仿宋" w:hAnsi="仿宋" w:eastAsia="仿宋" w:cs="仿宋"/>
          <w:sz w:val="32"/>
          <w:szCs w:val="32"/>
        </w:rPr>
        <w:t>开展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机关事务管理工作</w:t>
      </w:r>
      <w:r>
        <w:rPr>
          <w:rFonts w:hint="eastAsia" w:ascii="仿宋" w:hAnsi="仿宋" w:eastAsia="仿宋" w:cs="仿宋"/>
          <w:sz w:val="32"/>
          <w:szCs w:val="32"/>
        </w:rPr>
        <w:t>绩效评价，是为了在制度和技术层面保证政府投资项目的社会、环境和经济效益，有效提高政府决策的科学性和准确性，提升财政资金使用效率；也有助于增强政府管理的透明度和责任意识，加快政府职能转变，提升政府治理能力和执法能力，保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机关事务</w:t>
      </w:r>
      <w:r>
        <w:rPr>
          <w:rFonts w:hint="eastAsia" w:ascii="仿宋" w:hAnsi="仿宋" w:eastAsia="仿宋" w:cs="仿宋"/>
          <w:sz w:val="32"/>
          <w:szCs w:val="32"/>
        </w:rPr>
        <w:t>管理工作发展的可持续性和有效性，对项目所产生的各种效益进行衡量比较和综合评判，便于总结经验、发现问题、加强管理；保证专项资金使用管理的规范性、安全性和有效性。</w:t>
      </w:r>
    </w:p>
    <w:p>
      <w:pPr>
        <w:spacing w:line="560" w:lineRule="exact"/>
        <w:ind w:firstLine="643" w:firstLineChars="200"/>
        <w:rPr>
          <w:rFonts w:hint="eastAsia" w:ascii="楷体" w:hAnsi="楷体" w:eastAsia="楷体" w:cs="黑体"/>
          <w:b/>
        </w:rPr>
      </w:pPr>
      <w:r>
        <w:rPr>
          <w:rFonts w:hint="eastAsia" w:ascii="楷体" w:hAnsi="楷体" w:eastAsia="楷体" w:cs="黑体"/>
          <w:b/>
          <w:lang w:eastAsia="zh-CN"/>
        </w:rPr>
        <w:t>（二）</w:t>
      </w:r>
      <w:r>
        <w:rPr>
          <w:rFonts w:hint="eastAsia" w:ascii="楷体" w:hAnsi="楷体" w:eastAsia="楷体" w:cs="黑体"/>
          <w:b/>
        </w:rPr>
        <w:t>绩效评价工作的组织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1.各项财政资金按照项目实施进度安排，按时足额到位。未出现截留、挤占、挪用等现象。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2.经费到达后，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机关事务管理局</w:t>
      </w:r>
      <w:r>
        <w:rPr>
          <w:rFonts w:hint="eastAsia" w:ascii="仿宋" w:hAnsi="仿宋" w:eastAsia="仿宋" w:cs="仿宋"/>
          <w:sz w:val="32"/>
          <w:szCs w:val="32"/>
        </w:rPr>
        <w:t>制定了资金使用方案，严格按财政资金管理工作规定和用途专款专用。</w:t>
      </w:r>
    </w:p>
    <w:p>
      <w:pPr>
        <w:ind w:firstLine="640" w:firstLineChars="200"/>
        <w:rPr>
          <w:rFonts w:hint="eastAsia"/>
        </w:rPr>
      </w:pPr>
      <w:r>
        <w:rPr>
          <w:rFonts w:hint="eastAsia" w:ascii="仿宋" w:hAnsi="仿宋" w:eastAsia="仿宋" w:cs="仿宋"/>
          <w:sz w:val="32"/>
          <w:szCs w:val="32"/>
        </w:rPr>
        <w:t>3.申报项目工作经费的经济性主要表现在项目以最低成本达到目标，节约了资金，从而实现更多的项目效益。</w:t>
      </w:r>
    </w:p>
    <w:p>
      <w:pPr>
        <w:pStyle w:val="2"/>
        <w:spacing w:line="560" w:lineRule="exact"/>
        <w:ind w:left="0" w:leftChars="0" w:firstLine="3168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三、综合评价情况及评价结论（附相关评分表）</w:t>
      </w:r>
    </w:p>
    <w:p>
      <w:pPr>
        <w:pStyle w:val="2"/>
        <w:spacing w:line="560" w:lineRule="exact"/>
        <w:ind w:left="0" w:leftChars="0" w:firstLine="31680"/>
        <w:rPr>
          <w:rFonts w:hint="eastAsia" w:ascii="黑体" w:hAnsi="黑体" w:eastAsia="黑体" w:cs="黑体"/>
        </w:rPr>
      </w:pPr>
    </w:p>
    <w:p>
      <w:pPr>
        <w:pStyle w:val="2"/>
        <w:spacing w:line="560" w:lineRule="exact"/>
        <w:ind w:left="0" w:leftChars="0" w:firstLine="31680"/>
        <w:rPr>
          <w:rFonts w:hint="eastAsia" w:ascii="黑体" w:hAnsi="黑体" w:eastAsia="黑体" w:cs="黑体"/>
        </w:rPr>
      </w:pPr>
    </w:p>
    <w:p>
      <w:pPr>
        <w:pStyle w:val="2"/>
        <w:spacing w:line="560" w:lineRule="exact"/>
        <w:ind w:left="0" w:leftChars="0" w:firstLine="31680"/>
        <w:rPr>
          <w:rFonts w:hint="eastAsia" w:ascii="黑体" w:hAnsi="黑体" w:eastAsia="黑体" w:cs="黑体"/>
        </w:rPr>
      </w:pPr>
    </w:p>
    <w:p>
      <w:pPr>
        <w:pStyle w:val="2"/>
        <w:spacing w:line="560" w:lineRule="exact"/>
        <w:ind w:left="0" w:leftChars="0" w:firstLine="31680"/>
        <w:rPr>
          <w:rFonts w:hint="eastAsia" w:ascii="黑体" w:hAnsi="黑体" w:eastAsia="黑体" w:cs="黑体"/>
        </w:rPr>
      </w:pPr>
    </w:p>
    <w:p>
      <w:pPr>
        <w:pStyle w:val="2"/>
        <w:spacing w:line="560" w:lineRule="exact"/>
        <w:ind w:left="0" w:leftChars="0" w:firstLine="31680"/>
        <w:rPr>
          <w:rFonts w:hint="eastAsia" w:ascii="黑体" w:hAnsi="黑体" w:eastAsia="黑体" w:cs="黑体"/>
        </w:rPr>
      </w:pPr>
    </w:p>
    <w:p>
      <w:pPr>
        <w:pStyle w:val="2"/>
        <w:spacing w:line="560" w:lineRule="exact"/>
        <w:ind w:left="0" w:leftChars="0" w:firstLine="31680"/>
        <w:rPr>
          <w:rFonts w:hint="eastAsia" w:ascii="黑体" w:hAnsi="黑体" w:eastAsia="黑体" w:cs="黑体"/>
        </w:rPr>
      </w:pPr>
    </w:p>
    <w:p>
      <w:pPr>
        <w:pStyle w:val="2"/>
        <w:spacing w:line="560" w:lineRule="exact"/>
        <w:ind w:left="0" w:leftChars="0" w:firstLine="31680"/>
        <w:rPr>
          <w:rFonts w:hint="eastAsia" w:ascii="黑体" w:hAnsi="黑体" w:eastAsia="黑体" w:cs="黑体"/>
        </w:rPr>
      </w:pPr>
    </w:p>
    <w:p>
      <w:pPr>
        <w:pStyle w:val="2"/>
        <w:spacing w:line="560" w:lineRule="exact"/>
        <w:ind w:left="0" w:leftChars="0" w:firstLine="31680"/>
        <w:rPr>
          <w:rFonts w:hint="eastAsia" w:ascii="黑体" w:hAnsi="黑体" w:eastAsia="黑体" w:cs="黑体"/>
        </w:rPr>
      </w:pPr>
    </w:p>
    <w:p>
      <w:pPr>
        <w:pStyle w:val="2"/>
        <w:spacing w:line="560" w:lineRule="exact"/>
        <w:ind w:left="0" w:leftChars="0" w:firstLine="31680"/>
        <w:rPr>
          <w:rFonts w:hint="eastAsia" w:ascii="黑体" w:hAnsi="黑体" w:eastAsia="黑体" w:cs="黑体"/>
        </w:rPr>
      </w:pPr>
    </w:p>
    <w:p>
      <w:pPr>
        <w:pStyle w:val="2"/>
        <w:spacing w:line="560" w:lineRule="exact"/>
        <w:ind w:left="0" w:leftChars="0" w:firstLine="31680"/>
        <w:rPr>
          <w:rFonts w:hint="eastAsia" w:ascii="黑体" w:hAnsi="黑体" w:eastAsia="黑体" w:cs="黑体"/>
        </w:rPr>
      </w:pPr>
    </w:p>
    <w:p>
      <w:pPr>
        <w:pStyle w:val="2"/>
        <w:spacing w:line="560" w:lineRule="exact"/>
        <w:ind w:left="0" w:leftChars="0" w:firstLine="31680"/>
        <w:rPr>
          <w:rFonts w:hint="eastAsia" w:ascii="黑体" w:hAnsi="黑体" w:eastAsia="黑体" w:cs="黑体"/>
        </w:rPr>
      </w:pPr>
    </w:p>
    <w:p>
      <w:pPr>
        <w:pStyle w:val="2"/>
        <w:spacing w:line="560" w:lineRule="exact"/>
        <w:ind w:left="0" w:leftChars="0" w:firstLine="31680"/>
        <w:rPr>
          <w:rFonts w:hint="eastAsia" w:ascii="黑体" w:hAnsi="黑体" w:eastAsia="黑体" w:cs="黑体"/>
        </w:rPr>
      </w:pPr>
    </w:p>
    <w:p>
      <w:pPr>
        <w:pStyle w:val="2"/>
        <w:spacing w:line="560" w:lineRule="exact"/>
        <w:ind w:left="0" w:leftChars="0" w:firstLine="31680"/>
        <w:rPr>
          <w:rFonts w:hint="eastAsia" w:ascii="黑体" w:hAnsi="黑体" w:eastAsia="黑体" w:cs="黑体"/>
        </w:rPr>
      </w:pPr>
    </w:p>
    <w:p>
      <w:pPr>
        <w:pStyle w:val="2"/>
        <w:spacing w:line="560" w:lineRule="exact"/>
        <w:ind w:left="0" w:leftChars="0" w:firstLine="31680"/>
        <w:rPr>
          <w:rFonts w:hint="eastAsia" w:ascii="黑体" w:hAnsi="黑体" w:eastAsia="黑体" w:cs="黑体"/>
        </w:rPr>
      </w:pPr>
    </w:p>
    <w:p>
      <w:pPr>
        <w:pStyle w:val="2"/>
        <w:spacing w:line="560" w:lineRule="exact"/>
        <w:ind w:left="0" w:leftChars="0" w:firstLine="31680"/>
        <w:rPr>
          <w:rFonts w:hint="eastAsia" w:ascii="黑体" w:hAnsi="黑体" w:eastAsia="黑体" w:cs="黑体"/>
        </w:rPr>
      </w:pPr>
    </w:p>
    <w:p>
      <w:pPr>
        <w:pStyle w:val="2"/>
        <w:spacing w:line="560" w:lineRule="exact"/>
        <w:ind w:left="0" w:leftChars="0" w:firstLine="31680"/>
        <w:rPr>
          <w:rFonts w:hint="eastAsia" w:ascii="黑体" w:hAnsi="黑体" w:eastAsia="黑体" w:cs="黑体"/>
        </w:rPr>
      </w:pPr>
    </w:p>
    <w:p>
      <w:pPr>
        <w:pStyle w:val="2"/>
        <w:spacing w:line="560" w:lineRule="exact"/>
        <w:ind w:left="0" w:leftChars="0" w:firstLine="31680"/>
        <w:rPr>
          <w:rFonts w:hint="eastAsia" w:ascii="黑体" w:hAnsi="黑体" w:eastAsia="黑体" w:cs="黑体"/>
        </w:rPr>
      </w:pPr>
    </w:p>
    <w:p>
      <w:pPr>
        <w:pStyle w:val="2"/>
        <w:spacing w:line="560" w:lineRule="exact"/>
        <w:ind w:left="0" w:leftChars="0" w:firstLine="0" w:firstLineChars="0"/>
        <w:rPr>
          <w:rFonts w:ascii="仿宋_GB2312"/>
        </w:rPr>
      </w:pPr>
      <w:r>
        <w:pict>
          <v:shape id="_x0000_s1027" o:spid="_x0000_s1027" o:spt="75" type="#_x0000_t75" style="position:absolute;left:0pt;margin-left:4.5pt;margin-top:-477.95pt;height:518.35pt;width:441.75pt;z-index:251659264;mso-width-relative:page;mso-height-relative:page;" filled="f" o:preferrelative="t" stroked="f" coordsize="21600,21600">
            <v:path/>
            <v:fill on="f" focussize="0,0"/>
            <v:stroke on="f"/>
            <v:imagedata r:id="rId4" o:title=""/>
            <o:lock v:ext="edit" aspectratio="t"/>
          </v:shape>
        </w:pict>
      </w:r>
    </w:p>
    <w:p>
      <w:pPr>
        <w:pStyle w:val="2"/>
        <w:spacing w:line="560" w:lineRule="exact"/>
        <w:ind w:left="0" w:leftChars="0" w:firstLine="31680"/>
        <w:rPr>
          <w:rFonts w:hint="eastAsia" w:ascii="黑体" w:hAnsi="黑体" w:eastAsia="黑体" w:cs="黑体"/>
          <w:lang w:eastAsia="zh-CN"/>
        </w:rPr>
      </w:pPr>
    </w:p>
    <w:p>
      <w:pPr>
        <w:pStyle w:val="2"/>
        <w:spacing w:line="560" w:lineRule="exact"/>
        <w:ind w:left="0" w:leftChars="0" w:firstLine="31680"/>
        <w:rPr>
          <w:rFonts w:hint="eastAsia" w:ascii="黑体" w:hAnsi="黑体" w:eastAsia="黑体" w:cs="黑体"/>
          <w:lang w:eastAsia="zh-CN"/>
        </w:rPr>
      </w:pPr>
    </w:p>
    <w:p>
      <w:pPr>
        <w:pStyle w:val="2"/>
        <w:spacing w:line="560" w:lineRule="exact"/>
        <w:ind w:left="0" w:leftChars="0" w:firstLine="3168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eastAsia="zh-CN"/>
        </w:rPr>
        <w:t>四、</w:t>
      </w:r>
      <w:r>
        <w:rPr>
          <w:rFonts w:hint="eastAsia" w:ascii="黑体" w:hAnsi="黑体" w:eastAsia="黑体" w:cs="黑体"/>
        </w:rPr>
        <w:t>主要经验及做法、存在的问题及原因分析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（一）主要经验及做法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" w:beforeAutospacing="0" w:after="60" w:afterAutospacing="0" w:line="18" w:lineRule="atLeast"/>
        <w:ind w:right="0" w:firstLine="640" w:firstLineChars="200"/>
        <w:rPr>
          <w:rFonts w:hint="eastAsia" w:ascii="仿宋" w:hAnsi="仿宋" w:eastAsia="仿宋" w:cs="仿宋"/>
          <w:caps w:val="0"/>
          <w:color w:val="4A4A4A"/>
          <w:spacing w:val="0"/>
          <w:sz w:val="32"/>
          <w:szCs w:val="32"/>
        </w:rPr>
      </w:pPr>
      <w:r>
        <w:rPr>
          <w:rFonts w:hint="eastAsia" w:ascii="仿宋" w:hAnsi="仿宋" w:eastAsia="仿宋" w:cs="仿宋"/>
          <w:caps w:val="0"/>
          <w:color w:val="4A4A4A"/>
          <w:spacing w:val="0"/>
          <w:sz w:val="32"/>
          <w:szCs w:val="32"/>
          <w:shd w:val="clear" w:fill="FFFFFF"/>
        </w:rPr>
        <w:t>1.细化预算编制工作，认真做好预算的编制。进一步加强内部预算管理意识，严格按照预算编制的相关制度和要求进行预算编制；全面编制预算项目，优先保障固定性的、相对刚性的费用支出项目，进一步提高预算编制的科学性、严谨性和可控性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" w:beforeAutospacing="0" w:after="60" w:afterAutospacing="0" w:line="18" w:lineRule="atLeast"/>
        <w:ind w:left="0" w:right="0" w:firstLine="640" w:firstLineChars="200"/>
        <w:rPr>
          <w:rFonts w:hint="eastAsia" w:ascii="仿宋" w:hAnsi="仿宋" w:eastAsia="仿宋" w:cs="仿宋"/>
          <w:caps w:val="0"/>
          <w:color w:val="4A4A4A"/>
          <w:spacing w:val="0"/>
          <w:sz w:val="32"/>
          <w:szCs w:val="32"/>
        </w:rPr>
      </w:pPr>
      <w:r>
        <w:rPr>
          <w:rFonts w:hint="eastAsia" w:ascii="仿宋" w:hAnsi="仿宋" w:eastAsia="仿宋" w:cs="仿宋"/>
          <w:caps w:val="0"/>
          <w:color w:val="4A4A4A"/>
          <w:spacing w:val="0"/>
          <w:sz w:val="32"/>
          <w:szCs w:val="32"/>
          <w:shd w:val="clear" w:fill="FFFFFF"/>
        </w:rPr>
        <w:t>2.加强财务管理，严格财务审核。在费用报账支付时，按照预算规定的费用项目和用途进行资金使用审核、列报支付、财务核算，杜绝超支现象的发生。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" w:beforeAutospacing="0" w:after="60" w:afterAutospacing="0" w:line="18" w:lineRule="atLeast"/>
        <w:ind w:left="0" w:right="0"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aps w:val="0"/>
          <w:color w:val="4A4A4A"/>
          <w:spacing w:val="0"/>
          <w:sz w:val="32"/>
          <w:szCs w:val="32"/>
          <w:shd w:val="clear" w:fill="FFFFFF"/>
        </w:rPr>
        <w:t>3.加强项目开展进度的跟踪，开展项目绩效评价，确保项目绩效目标的完成。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（二）存在的问题及原因分析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" w:beforeAutospacing="0" w:after="60" w:afterAutospacing="0" w:line="18" w:lineRule="atLeast"/>
        <w:ind w:right="0" w:firstLine="640" w:firstLineChars="200"/>
        <w:rPr>
          <w:rFonts w:hint="eastAsia" w:ascii="仿宋" w:hAnsi="仿宋" w:eastAsia="仿宋" w:cs="仿宋"/>
          <w:caps w:val="0"/>
          <w:color w:val="4A4A4A"/>
          <w:spacing w:val="0"/>
          <w:sz w:val="32"/>
          <w:szCs w:val="32"/>
        </w:rPr>
      </w:pPr>
      <w:r>
        <w:rPr>
          <w:rFonts w:hint="eastAsia" w:ascii="仿宋" w:hAnsi="仿宋" w:eastAsia="仿宋" w:cs="仿宋"/>
          <w:caps w:val="0"/>
          <w:color w:val="4A4A4A"/>
          <w:spacing w:val="0"/>
          <w:sz w:val="32"/>
          <w:szCs w:val="32"/>
          <w:shd w:val="clear" w:fill="FFFFFF"/>
        </w:rPr>
        <w:t>2020年，本单位科学有效地使用项目资金取得了较好的经济、社会效益，但还存在一些问题和困难：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" w:beforeAutospacing="0" w:after="60" w:afterAutospacing="0" w:line="18" w:lineRule="atLeast"/>
        <w:ind w:left="0" w:right="0" w:firstLine="0"/>
        <w:rPr>
          <w:rFonts w:hint="eastAsia" w:ascii="仿宋" w:hAnsi="仿宋" w:eastAsia="仿宋" w:cs="仿宋"/>
          <w:caps w:val="0"/>
          <w:color w:val="4A4A4A"/>
          <w:spacing w:val="0"/>
          <w:sz w:val="32"/>
          <w:szCs w:val="32"/>
        </w:rPr>
      </w:pPr>
      <w:r>
        <w:rPr>
          <w:rFonts w:hint="eastAsia" w:ascii="仿宋" w:hAnsi="仿宋" w:eastAsia="仿宋" w:cs="仿宋"/>
          <w:caps w:val="0"/>
          <w:color w:val="4A4A4A"/>
          <w:spacing w:val="0"/>
          <w:sz w:val="32"/>
          <w:szCs w:val="32"/>
          <w:shd w:val="clear" w:fill="FFFFFF"/>
        </w:rPr>
        <w:t>　　1.绩效管理体系需要逐渐健全。绩效管理是一个完整系统，由绩效计划、绩效实施、绩效考核、绩效反馈四部分组成，四者紧密相连，缺一不可，但从目前管理现状看，绩效管理的整体性上还有差距，管理体系需要进一步健全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" w:beforeAutospacing="0" w:after="60" w:afterAutospacing="0" w:line="18" w:lineRule="atLeast"/>
        <w:ind w:left="0" w:right="0" w:firstLine="0"/>
        <w:rPr>
          <w:rFonts w:hint="eastAsia" w:ascii="仿宋" w:hAnsi="仿宋" w:eastAsia="仿宋" w:cs="仿宋"/>
          <w:caps w:val="0"/>
          <w:color w:val="4A4A4A"/>
          <w:spacing w:val="0"/>
          <w:sz w:val="32"/>
          <w:szCs w:val="32"/>
        </w:rPr>
      </w:pPr>
      <w:r>
        <w:rPr>
          <w:rFonts w:hint="eastAsia" w:ascii="仿宋" w:hAnsi="仿宋" w:eastAsia="仿宋" w:cs="仿宋"/>
          <w:caps w:val="0"/>
          <w:color w:val="4A4A4A"/>
          <w:spacing w:val="0"/>
          <w:sz w:val="32"/>
          <w:szCs w:val="32"/>
          <w:shd w:val="clear" w:fill="FFFFFF"/>
        </w:rPr>
        <w:t>　　2.专技人才缺乏，难以适应现行的预算绩效管理。随着财政改革步伐的推进，预算绩效管理在财政改革中的地位与角色更加凸显，而当前绩效管理没有成熟模式，没有专业绩效管理人员，缺乏专业知识和相应的工作经验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" w:beforeAutospacing="0" w:after="60" w:afterAutospacing="0" w:line="18" w:lineRule="atLeast"/>
        <w:ind w:left="0" w:right="0" w:firstLine="0"/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  <w:caps w:val="0"/>
          <w:color w:val="4A4A4A"/>
          <w:spacing w:val="0"/>
          <w:sz w:val="32"/>
          <w:szCs w:val="32"/>
          <w:shd w:val="clear" w:fill="FFFFFF"/>
        </w:rPr>
        <w:t>　　3.希望财政部门能进一步对绩效管理进行培训，提高绩效工作水平。</w:t>
      </w:r>
    </w:p>
    <w:p>
      <w:pPr>
        <w:pStyle w:val="2"/>
        <w:numPr>
          <w:ilvl w:val="0"/>
          <w:numId w:val="1"/>
        </w:numPr>
        <w:spacing w:line="560" w:lineRule="exact"/>
        <w:ind w:left="0" w:leftChars="0" w:firstLine="3168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有关建议</w:t>
      </w:r>
    </w:p>
    <w:p>
      <w:pPr>
        <w:pStyle w:val="2"/>
        <w:numPr>
          <w:ilvl w:val="0"/>
          <w:numId w:val="0"/>
        </w:numPr>
        <w:spacing w:line="56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一是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公车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中心“三定”工作未完成，二是需进一步公车平台基础设施不完善，三是公车平台运行模式较单一，急需向社会化、市场化方向推进，四是公车平台后勤保障有待进一步加强，五是公车平台保留车辆部分超标、大部分车辆根据车辆使用年限规定需要更换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机关事务</w:t>
      </w:r>
      <w:r>
        <w:rPr>
          <w:rFonts w:hint="eastAsia" w:ascii="仿宋" w:hAnsi="仿宋" w:eastAsia="仿宋" w:cs="仿宋"/>
          <w:sz w:val="32"/>
          <w:szCs w:val="32"/>
        </w:rPr>
        <w:t>是一项长期工作，坚持不懈的抓下去，严格落实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机关事务</w:t>
      </w:r>
      <w:r>
        <w:rPr>
          <w:rFonts w:hint="eastAsia" w:ascii="仿宋" w:hAnsi="仿宋" w:eastAsia="仿宋" w:cs="仿宋"/>
          <w:sz w:val="32"/>
          <w:szCs w:val="32"/>
        </w:rPr>
        <w:t>相关规章制度，加大对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机关事务</w:t>
      </w:r>
      <w:r>
        <w:rPr>
          <w:rFonts w:hint="eastAsia" w:ascii="仿宋" w:hAnsi="仿宋" w:eastAsia="仿宋" w:cs="仿宋"/>
          <w:sz w:val="32"/>
          <w:szCs w:val="32"/>
        </w:rPr>
        <w:t>工作落实明查暗访的力度，针对检查过程中存在的突出问题通过列入整改台帐要求限期整改，并抓好整改落实情况，确保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机关事务</w:t>
      </w:r>
      <w:r>
        <w:rPr>
          <w:rFonts w:hint="eastAsia" w:ascii="仿宋" w:hAnsi="仿宋" w:eastAsia="仿宋" w:cs="仿宋"/>
          <w:sz w:val="32"/>
          <w:szCs w:val="32"/>
        </w:rPr>
        <w:t>制度落到实处。充分调动积极性，提高以城为家意识，推动工作向前发展，有效提升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机关事务</w:t>
      </w:r>
      <w:r>
        <w:rPr>
          <w:rFonts w:hint="eastAsia" w:ascii="仿宋" w:hAnsi="仿宋" w:eastAsia="仿宋" w:cs="仿宋"/>
          <w:sz w:val="32"/>
          <w:szCs w:val="32"/>
        </w:rPr>
        <w:t>工作水平。</w:t>
      </w:r>
    </w:p>
    <w:p>
      <w:pPr>
        <w:pStyle w:val="2"/>
        <w:spacing w:line="560" w:lineRule="exact"/>
        <w:ind w:left="0" w:leftChars="0" w:firstLine="3168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eastAsia="zh-CN"/>
        </w:rPr>
        <w:t>六</w:t>
      </w:r>
      <w:r>
        <w:rPr>
          <w:rFonts w:hint="eastAsia" w:ascii="黑体" w:hAnsi="黑体" w:eastAsia="黑体" w:cs="黑体"/>
        </w:rPr>
        <w:t>、其他需要说明的问题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无</w:t>
      </w:r>
    </w:p>
    <w:sectPr>
      <w:pgSz w:w="11906" w:h="16838"/>
      <w:pgMar w:top="1984" w:right="1531" w:bottom="1984" w:left="1531" w:header="851" w:footer="992" w:gutter="0"/>
      <w:cols w:space="0" w:num="1"/>
      <w:docGrid w:type="lines" w:linePitch="44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1F9049"/>
    <w:multiLevelType w:val="singleLevel"/>
    <w:tmpl w:val="461F9049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5E50513B"/>
    <w:rsid w:val="00707E92"/>
    <w:rsid w:val="00735335"/>
    <w:rsid w:val="00895F78"/>
    <w:rsid w:val="008F6497"/>
    <w:rsid w:val="00DD1683"/>
    <w:rsid w:val="061A3D80"/>
    <w:rsid w:val="06262B67"/>
    <w:rsid w:val="066343C3"/>
    <w:rsid w:val="09020646"/>
    <w:rsid w:val="10A22D27"/>
    <w:rsid w:val="12951915"/>
    <w:rsid w:val="182313E7"/>
    <w:rsid w:val="19E51D54"/>
    <w:rsid w:val="2B3B05E5"/>
    <w:rsid w:val="37CB1F94"/>
    <w:rsid w:val="39B24C04"/>
    <w:rsid w:val="465E34E6"/>
    <w:rsid w:val="4DF76AC4"/>
    <w:rsid w:val="50D54077"/>
    <w:rsid w:val="5E50513B"/>
    <w:rsid w:val="679D40C2"/>
    <w:rsid w:val="6BF03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8"/>
    <w:qFormat/>
    <w:uiPriority w:val="99"/>
    <w:pPr>
      <w:ind w:firstLine="420" w:firstLineChars="200"/>
    </w:pPr>
  </w:style>
  <w:style w:type="paragraph" w:styleId="3">
    <w:name w:val="Body Text Indent"/>
    <w:basedOn w:val="1"/>
    <w:link w:val="7"/>
    <w:qFormat/>
    <w:uiPriority w:val="99"/>
    <w:pPr>
      <w:ind w:left="420" w:leftChars="200"/>
    </w:p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Body Text Indent Char"/>
    <w:basedOn w:val="6"/>
    <w:link w:val="3"/>
    <w:semiHidden/>
    <w:qFormat/>
    <w:uiPriority w:val="99"/>
    <w:rPr>
      <w:rFonts w:eastAsia="仿宋_GB2312"/>
      <w:sz w:val="32"/>
      <w:szCs w:val="32"/>
    </w:rPr>
  </w:style>
  <w:style w:type="character" w:customStyle="1" w:styleId="8">
    <w:name w:val="Body Text First Indent 2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果核剥壳</Company>
  <Pages>2</Pages>
  <Words>77</Words>
  <Characters>445</Characters>
  <Lines>0</Lines>
  <Paragraphs>0</Paragraphs>
  <TotalTime>5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2020-03-10T02:17:00Z</dcterms:created>
  <dc:creator>shadow</dc:creator>
  <cp:lastModifiedBy>～那抹阳光</cp:lastModifiedBy>
  <cp:lastPrinted>2020-03-12T01:11:00Z</cp:lastPrinted>
  <dcterms:modified xsi:type="dcterms:W3CDTF">2021-08-24T07:47:52Z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D9E8AF0BA5724C9DBCF7D62A1BD604F4</vt:lpwstr>
  </property>
</Properties>
</file>